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7413" w:rsidRDefault="00D712A8">
      <w:pPr>
        <w:spacing w:after="39"/>
        <w:ind w:left="468"/>
      </w:pPr>
      <w:bookmarkStart w:id="0" w:name="_GoBack"/>
      <w:bookmarkEnd w:id="0"/>
      <w:r>
        <w:rPr>
          <w:rFonts w:ascii="Arial" w:eastAsia="Arial" w:hAnsi="Arial" w:cs="Arial"/>
          <w:b/>
          <w:sz w:val="16"/>
        </w:rPr>
        <w:t xml:space="preserve"> </w:t>
      </w:r>
      <w:r>
        <w:rPr>
          <w:rFonts w:ascii="Arial" w:eastAsia="Arial" w:hAnsi="Arial" w:cs="Arial"/>
          <w:b/>
          <w:sz w:val="16"/>
        </w:rPr>
        <w:tab/>
      </w:r>
      <w:r>
        <w:rPr>
          <w:rFonts w:ascii="Times New Roman" w:eastAsia="Times New Roman" w:hAnsi="Times New Roman" w:cs="Times New Roman"/>
          <w:sz w:val="14"/>
        </w:rPr>
        <w:t xml:space="preserve"> </w:t>
      </w:r>
      <w:r>
        <w:rPr>
          <w:rFonts w:ascii="Times New Roman" w:eastAsia="Times New Roman" w:hAnsi="Times New Roman" w:cs="Times New Roman"/>
          <w:sz w:val="14"/>
        </w:rPr>
        <w:tab/>
      </w:r>
      <w:r>
        <w:rPr>
          <w:rFonts w:ascii="Arial" w:eastAsia="Arial" w:hAnsi="Arial" w:cs="Arial"/>
          <w:sz w:val="14"/>
        </w:rPr>
        <w:t xml:space="preserve"> </w:t>
      </w:r>
      <w:r>
        <w:rPr>
          <w:rFonts w:ascii="Arial" w:eastAsia="Arial" w:hAnsi="Arial" w:cs="Arial"/>
          <w:sz w:val="14"/>
        </w:rPr>
        <w:tab/>
        <w:t xml:space="preserve"> </w:t>
      </w:r>
    </w:p>
    <w:p w:rsidR="00FA7413" w:rsidRDefault="00D712A8">
      <w:pPr>
        <w:spacing w:after="161"/>
        <w:ind w:left="468"/>
      </w:pPr>
      <w:r>
        <w:rPr>
          <w:rFonts w:ascii="Arial" w:eastAsia="Arial" w:hAnsi="Arial" w:cs="Arial"/>
          <w:sz w:val="14"/>
        </w:rPr>
        <w:t xml:space="preserve"> </w:t>
      </w:r>
      <w:r>
        <w:rPr>
          <w:rFonts w:ascii="Arial" w:eastAsia="Arial" w:hAnsi="Arial" w:cs="Arial"/>
          <w:sz w:val="14"/>
        </w:rPr>
        <w:tab/>
        <w:t xml:space="preserve"> </w:t>
      </w:r>
      <w:r>
        <w:rPr>
          <w:rFonts w:ascii="Arial" w:eastAsia="Arial" w:hAnsi="Arial" w:cs="Arial"/>
          <w:sz w:val="14"/>
        </w:rPr>
        <w:tab/>
        <w:t xml:space="preserve"> </w:t>
      </w:r>
      <w:r>
        <w:rPr>
          <w:rFonts w:ascii="Arial" w:eastAsia="Arial" w:hAnsi="Arial" w:cs="Arial"/>
          <w:sz w:val="14"/>
        </w:rPr>
        <w:tab/>
        <w:t xml:space="preserve"> </w:t>
      </w:r>
    </w:p>
    <w:p w:rsidR="00FA7413" w:rsidRDefault="00D712A8">
      <w:pPr>
        <w:tabs>
          <w:tab w:val="center" w:pos="1484"/>
          <w:tab w:val="center" w:pos="4321"/>
          <w:tab w:val="center" w:pos="6138"/>
          <w:tab w:val="center" w:pos="7415"/>
        </w:tabs>
        <w:spacing w:after="25" w:line="249" w:lineRule="auto"/>
      </w:pPr>
      <w:r>
        <w:tab/>
      </w:r>
      <w:r>
        <w:rPr>
          <w:rFonts w:ascii="Arial" w:eastAsia="Arial" w:hAnsi="Arial" w:cs="Arial"/>
          <w:sz w:val="24"/>
        </w:rPr>
        <w:t xml:space="preserve"> </w:t>
      </w:r>
      <w:r>
        <w:rPr>
          <w:rFonts w:ascii="Arial" w:eastAsia="Arial" w:hAnsi="Arial" w:cs="Arial"/>
          <w:sz w:val="24"/>
        </w:rPr>
        <w:tab/>
      </w:r>
      <w:r>
        <w:rPr>
          <w:rFonts w:ascii="Arial" w:eastAsia="Arial" w:hAnsi="Arial" w:cs="Arial"/>
          <w:b/>
          <w:sz w:val="24"/>
        </w:rPr>
        <w:t xml:space="preserve">                   ACTA </w:t>
      </w:r>
      <w:r>
        <w:rPr>
          <w:rFonts w:ascii="Arial" w:eastAsia="Arial" w:hAnsi="Arial" w:cs="Arial"/>
          <w:b/>
          <w:sz w:val="24"/>
        </w:rPr>
        <w:tab/>
      </w:r>
      <w:r>
        <w:rPr>
          <w:rFonts w:ascii="Arial" w:eastAsia="Arial" w:hAnsi="Arial" w:cs="Arial"/>
          <w:sz w:val="21"/>
          <w:vertAlign w:val="superscript"/>
        </w:rPr>
        <w:t xml:space="preserve"> </w:t>
      </w:r>
      <w:r>
        <w:rPr>
          <w:rFonts w:ascii="Arial" w:eastAsia="Arial" w:hAnsi="Arial" w:cs="Arial"/>
          <w:sz w:val="21"/>
          <w:vertAlign w:val="superscript"/>
        </w:rPr>
        <w:tab/>
        <w:t xml:space="preserve"> </w:t>
      </w:r>
    </w:p>
    <w:p w:rsidR="00FA7413" w:rsidRDefault="00D712A8">
      <w:pPr>
        <w:spacing w:after="0"/>
        <w:ind w:left="360"/>
      </w:pPr>
      <w:r>
        <w:rPr>
          <w:rFonts w:ascii="Times New Roman" w:eastAsia="Times New Roman" w:hAnsi="Times New Roman" w:cs="Times New Roman"/>
          <w:sz w:val="24"/>
        </w:rPr>
        <w:t xml:space="preserve"> </w:t>
      </w:r>
      <w:r>
        <w:rPr>
          <w:noProof/>
        </w:rPr>
        <mc:AlternateContent>
          <mc:Choice Requires="wpg">
            <w:drawing>
              <wp:inline distT="0" distB="0" distL="0" distR="0">
                <wp:extent cx="6057900" cy="25908"/>
                <wp:effectExtent l="0" t="0" r="0" b="0"/>
                <wp:docPr id="195542" name="Group 195542"/>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15" name="Shape 115"/>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5542" style="width:477pt;height:2.04pt;mso-position-horizontal-relative:char;mso-position-vertical-relative:line" coordsize="60579,259">
                <v:shape id="Shape 115" style="position:absolute;width:60579;height:0;left:0;top:0;" coordsize="6057900,0" path="m0,0l6057900,0">
                  <v:stroke weight="2.04pt" endcap="square" joinstyle="miter" miterlimit="10" on="true" color="#993366"/>
                  <v:fill on="false" color="#000000" opacity="0"/>
                </v:shape>
              </v:group>
            </w:pict>
          </mc:Fallback>
        </mc:AlternateContent>
      </w:r>
    </w:p>
    <w:p w:rsidR="00FA7413" w:rsidRDefault="00D712A8">
      <w:pPr>
        <w:spacing w:after="0"/>
        <w:ind w:left="346"/>
        <w:jc w:val="center"/>
      </w:pPr>
      <w:r>
        <w:rPr>
          <w:rFonts w:ascii="Arial" w:eastAsia="Arial" w:hAnsi="Arial" w:cs="Arial"/>
          <w:b/>
        </w:rPr>
        <w:t xml:space="preserve"> </w:t>
      </w:r>
    </w:p>
    <w:p w:rsidR="00FA7413" w:rsidRDefault="00D712A8">
      <w:pPr>
        <w:spacing w:after="0"/>
        <w:ind w:left="346"/>
        <w:jc w:val="center"/>
      </w:pPr>
      <w:r>
        <w:rPr>
          <w:rFonts w:ascii="Arial" w:eastAsia="Arial" w:hAnsi="Arial" w:cs="Arial"/>
          <w:b/>
        </w:rPr>
        <w:t xml:space="preserve"> </w:t>
      </w:r>
    </w:p>
    <w:p w:rsidR="00FA7413" w:rsidRDefault="00D712A8">
      <w:pPr>
        <w:pStyle w:val="Ttulo1"/>
        <w:spacing w:after="0"/>
        <w:ind w:left="1013" w:right="725"/>
      </w:pPr>
      <w:r>
        <w:t xml:space="preserve">DE LA SESIÓN ORDINARIA CELEBRADA POR EL AYUNTAMIENTO PLENO EL DÍA DE 24 DE JUNIO DE  2021. SESIÓN Nº7/2021 </w:t>
      </w:r>
    </w:p>
    <w:p w:rsidR="00FA7413" w:rsidRDefault="00D712A8">
      <w:pPr>
        <w:spacing w:after="0"/>
        <w:ind w:left="345"/>
        <w:jc w:val="center"/>
      </w:pPr>
      <w:r>
        <w:rPr>
          <w:rFonts w:ascii="Times New Roman" w:eastAsia="Times New Roman" w:hAnsi="Times New Roman" w:cs="Times New Roman"/>
          <w:sz w:val="24"/>
        </w:rPr>
        <w:t xml:space="preserve"> </w:t>
      </w:r>
    </w:p>
    <w:p w:rsidR="00FA7413" w:rsidRDefault="00D712A8">
      <w:pPr>
        <w:spacing w:after="0"/>
        <w:ind w:left="360"/>
      </w:pPr>
      <w:r>
        <w:rPr>
          <w:rFonts w:ascii="Arial" w:eastAsia="Arial" w:hAnsi="Arial" w:cs="Arial"/>
          <w:sz w:val="20"/>
        </w:rPr>
        <w:t xml:space="preserve"> </w:t>
      </w:r>
    </w:p>
    <w:p w:rsidR="00FA7413" w:rsidRDefault="00D712A8">
      <w:pPr>
        <w:spacing w:after="0"/>
        <w:ind w:left="360"/>
      </w:pPr>
      <w:r>
        <w:rPr>
          <w:rFonts w:ascii="Arial" w:eastAsia="Arial" w:hAnsi="Arial" w:cs="Arial"/>
          <w:sz w:val="20"/>
        </w:rPr>
        <w:t xml:space="preserve"> </w:t>
      </w:r>
    </w:p>
    <w:p w:rsidR="00FA7413" w:rsidRDefault="00D712A8">
      <w:pPr>
        <w:spacing w:after="0"/>
        <w:ind w:left="340"/>
        <w:jc w:val="center"/>
      </w:pPr>
      <w:r>
        <w:rPr>
          <w:rFonts w:ascii="Arial" w:eastAsia="Arial" w:hAnsi="Arial" w:cs="Arial"/>
          <w:sz w:val="20"/>
        </w:rPr>
        <w:t xml:space="preserve"> </w:t>
      </w:r>
    </w:p>
    <w:p w:rsidR="00FA7413" w:rsidRDefault="00D712A8">
      <w:pPr>
        <w:spacing w:after="0"/>
        <w:ind w:left="1013" w:right="718" w:hanging="10"/>
        <w:jc w:val="center"/>
      </w:pPr>
      <w:r>
        <w:rPr>
          <w:rFonts w:ascii="Arial" w:eastAsia="Arial" w:hAnsi="Arial" w:cs="Arial"/>
          <w:b/>
        </w:rPr>
        <w:t xml:space="preserve">SEÑORES ASISTENTES: </w:t>
      </w:r>
    </w:p>
    <w:p w:rsidR="00FA7413" w:rsidRDefault="00D712A8">
      <w:pPr>
        <w:spacing w:after="0"/>
        <w:ind w:left="3176"/>
      </w:pPr>
      <w:r>
        <w:rPr>
          <w:rFonts w:ascii="Arial" w:eastAsia="Arial" w:hAnsi="Arial" w:cs="Arial"/>
          <w:b/>
        </w:rPr>
        <w:t xml:space="preserve"> </w:t>
      </w:r>
    </w:p>
    <w:p w:rsidR="00FA7413" w:rsidRDefault="00D712A8">
      <w:pPr>
        <w:spacing w:after="0"/>
        <w:ind w:left="3176"/>
      </w:pPr>
      <w:r>
        <w:rPr>
          <w:rFonts w:ascii="Arial" w:eastAsia="Arial" w:hAnsi="Arial" w:cs="Arial"/>
          <w:b/>
        </w:rPr>
        <w:t xml:space="preserve"> </w:t>
      </w:r>
    </w:p>
    <w:p w:rsidR="00FA7413" w:rsidRDefault="00D712A8">
      <w:pPr>
        <w:spacing w:after="11" w:line="248" w:lineRule="auto"/>
        <w:ind w:left="355" w:right="64" w:hanging="10"/>
        <w:jc w:val="both"/>
      </w:pPr>
      <w:r>
        <w:rPr>
          <w:rFonts w:ascii="Arial" w:eastAsia="Arial" w:hAnsi="Arial" w:cs="Arial"/>
          <w:b/>
        </w:rPr>
        <w:t xml:space="preserve">                                        Alcaldesa-</w:t>
      </w:r>
      <w:r>
        <w:rPr>
          <w:rFonts w:ascii="Arial" w:eastAsia="Arial" w:hAnsi="Arial" w:cs="Arial"/>
          <w:b/>
        </w:rPr>
        <w:t xml:space="preserve">Presidenta: </w:t>
      </w:r>
      <w:r>
        <w:rPr>
          <w:rFonts w:ascii="Arial" w:eastAsia="Arial" w:hAnsi="Arial" w:cs="Arial"/>
        </w:rPr>
        <w:t>Dª María Concepción Brito Núñez.</w:t>
      </w:r>
      <w:r>
        <w:rPr>
          <w:rFonts w:ascii="Times New Roman" w:eastAsia="Times New Roman" w:hAnsi="Times New Roman" w:cs="Times New Roman"/>
        </w:rPr>
        <w:t xml:space="preserve"> </w:t>
      </w:r>
    </w:p>
    <w:p w:rsidR="00FA7413" w:rsidRDefault="00D712A8">
      <w:pPr>
        <w:spacing w:after="0"/>
        <w:ind w:left="360"/>
      </w:pPr>
      <w:r>
        <w:rPr>
          <w:rFonts w:ascii="Arial" w:eastAsia="Arial" w:hAnsi="Arial" w:cs="Arial"/>
          <w:b/>
        </w:rPr>
        <w:t xml:space="preserve"> </w:t>
      </w:r>
    </w:p>
    <w:p w:rsidR="00FA7413" w:rsidRDefault="00D712A8">
      <w:pPr>
        <w:spacing w:after="0"/>
        <w:ind w:left="346"/>
        <w:jc w:val="center"/>
      </w:pPr>
      <w:r>
        <w:rPr>
          <w:rFonts w:ascii="Arial" w:eastAsia="Arial" w:hAnsi="Arial" w:cs="Arial"/>
          <w:b/>
        </w:rPr>
        <w:t xml:space="preserve"> </w:t>
      </w:r>
    </w:p>
    <w:p w:rsidR="00FA7413" w:rsidRDefault="00D712A8">
      <w:pPr>
        <w:spacing w:after="3" w:line="241" w:lineRule="auto"/>
        <w:ind w:left="355" w:hanging="10"/>
      </w:pPr>
      <w:r>
        <w:rPr>
          <w:rFonts w:ascii="Arial" w:eastAsia="Arial" w:hAnsi="Arial" w:cs="Arial"/>
          <w:b/>
        </w:rPr>
        <w:t xml:space="preserve">               Grupo Socialista</w:t>
      </w:r>
      <w:r>
        <w:rPr>
          <w:rFonts w:ascii="Arial" w:eastAsia="Arial" w:hAnsi="Arial" w:cs="Arial"/>
        </w:rPr>
        <w:t>: D. Jorge Baute Delgado, Dª Olivia Concepción Pérez Díaz, D. José Francisco Pinto Ramos, Dª Hilaria Cecilia Otazo González, D. Airam Pérez Chinea, Dª Margarita Eva Tendero Ba</w:t>
      </w:r>
      <w:r>
        <w:rPr>
          <w:rFonts w:ascii="Arial" w:eastAsia="Arial" w:hAnsi="Arial" w:cs="Arial"/>
        </w:rPr>
        <w:t xml:space="preserve">rroso, D. Manuel Alberto González Pestano, Dª Mª del Carmen Clemente Díaz, D. Olegario Francisco Alonso Bello, D. Reinaldo José Triviño Blanco. </w:t>
      </w:r>
      <w:r>
        <w:rPr>
          <w:rFonts w:ascii="Times New Roman" w:eastAsia="Times New Roman" w:hAnsi="Times New Roman" w:cs="Times New Roman"/>
          <w:sz w:val="24"/>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4" w:hanging="10"/>
        <w:jc w:val="both"/>
      </w:pPr>
      <w:r>
        <w:rPr>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904494" cy="915315"/>
                <wp:effectExtent l="0" t="0" r="0" b="0"/>
                <wp:wrapTopAndBottom/>
                <wp:docPr id="195539" name="Group 195539"/>
                <wp:cNvGraphicFramePr/>
                <a:graphic xmlns:a="http://schemas.openxmlformats.org/drawingml/2006/main">
                  <a:graphicData uri="http://schemas.microsoft.com/office/word/2010/wordprocessingGroup">
                    <wpg:wgp>
                      <wpg:cNvGrpSpPr/>
                      <wpg:grpSpPr>
                        <a:xfrm>
                          <a:off x="0" y="0"/>
                          <a:ext cx="904494" cy="915315"/>
                          <a:chOff x="0" y="0"/>
                          <a:chExt cx="904494"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FA7413" w:rsidRDefault="00D712A8">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FA7413" w:rsidRDefault="00D712A8">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95539" style="width:71.22pt;height:72.072pt;position:absolute;mso-position-horizontal-relative:page;mso-position-horizontal:absolute;margin-left:125.81pt;mso-position-vertical-relative:page;margin-top:34.668pt;" coordsize="9044,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8"/>
                </v:shape>
                <v:rect id="Rectangle 10" style="position:absolute;width:506;height:2243;left:231;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 style="position:absolute;width:506;height:2243;left:231;top:17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w10:wrap type="topAndBottom"/>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195543" name="Group 195543"/>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18" name="Rectangle 118"/>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19" name="Rectangle 119"/>
                        <wps:cNvSpPr/>
                        <wps:spPr>
                          <a:xfrm rot="-5399999">
                            <a:off x="-2042224" y="1268293"/>
                            <a:ext cx="4350075"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 de 180 </w:t>
                              </w:r>
                            </w:p>
                          </w:txbxContent>
                        </wps:txbx>
                        <wps:bodyPr horzOverflow="overflow" vert="horz" lIns="0" tIns="0" rIns="0" bIns="0" rtlCol="0">
                          <a:noAutofit/>
                        </wps:bodyPr>
                      </wps:wsp>
                    </wpg:wgp>
                  </a:graphicData>
                </a:graphic>
              </wp:anchor>
            </w:drawing>
          </mc:Choice>
          <mc:Fallback xmlns:a="http://schemas.openxmlformats.org/drawingml/2006/main">
            <w:pict>
              <v:group id="Group 195543" style="width:12.7031pt;height:275.586pt;position:absolute;mso-position-horizontal-relative:page;mso-position-horizontal:absolute;margin-left:682.278pt;mso-position-vertical-relative:page;margin-top:536.334pt;" coordsize="1613,34999">
                <v:rect id="Rectangle 118"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19" style="position:absolute;width:43500;height:1132;left:-20422;top:1268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 de 180 </w:t>
                        </w:r>
                      </w:p>
                    </w:txbxContent>
                  </v:textbox>
                </v:rect>
                <w10:wrap type="square"/>
              </v:group>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195553" name="Group 195553"/>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20" name="Shape 120"/>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21" name="Shape 121"/>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5553" style="width:29pt;height:466.28pt;position:absolute;mso-position-horizontal-relative:page;mso-position-horizontal:absolute;margin-left:20pt;mso-position-vertical-relative:page;margin-top:110pt;" coordsize="3683,59217">
                <v:shape id="Shape 120" style="position:absolute;width:3683;height:29291;left:0;top:0;" coordsize="368300,2929128" path="m0,2929128l368300,2929128l368300,0l0,0x">
                  <v:stroke weight="0.5pt" endcap="flat" joinstyle="miter" miterlimit="10" on="true" color="#808080"/>
                  <v:fill on="false" color="#000000" opacity="0"/>
                </v:shape>
                <v:shape id="Shape 121"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rPr>
          <w:rFonts w:ascii="Arial" w:eastAsia="Arial" w:hAnsi="Arial" w:cs="Arial"/>
          <w:b/>
        </w:rPr>
        <w:t xml:space="preserve">               Grupo Popular: </w:t>
      </w:r>
      <w:r>
        <w:rPr>
          <w:rFonts w:ascii="Arial" w:eastAsia="Arial" w:hAnsi="Arial" w:cs="Arial"/>
        </w:rPr>
        <w:t xml:space="preserve"> D. Andrés Rodríguez Delgado, D.</w:t>
      </w:r>
      <w:r>
        <w:rPr>
          <w:rFonts w:ascii="Arial" w:eastAsia="Arial" w:hAnsi="Arial" w:cs="Arial"/>
        </w:rPr>
        <w:t xml:space="preserve"> Jacobo López Fariña, Dª Raquel Martín Castro.</w:t>
      </w:r>
      <w:r>
        <w:rPr>
          <w:rFonts w:ascii="Times New Roman" w:eastAsia="Times New Roman" w:hAnsi="Times New Roman" w:cs="Times New Roman"/>
          <w:sz w:val="24"/>
        </w:rPr>
        <w:t xml:space="preserve">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b/>
        </w:rPr>
        <w:t xml:space="preserve">               Grupo Mixto:</w:t>
      </w:r>
      <w:r>
        <w:rPr>
          <w:rFonts w:ascii="Arial" w:eastAsia="Arial" w:hAnsi="Arial" w:cs="Arial"/>
        </w:rPr>
        <w:t xml:space="preserve"> </w:t>
      </w:r>
      <w:r>
        <w:rPr>
          <w:rFonts w:ascii="Arial" w:eastAsia="Arial" w:hAnsi="Arial" w:cs="Arial"/>
        </w:rPr>
        <w:t>Dª Lourdes del Carmen Mondéjar Rondón y D. Antonio Delgado García (Si Se Puede) Dª Ángela Cruz Perera (Coalición Canaria Partido Nacionalista Canario), (Ciudadanos Partido de la Ciudadanía) y Dª Alicia Mercedes Marrero Meneses (Vecinos por Candelaria).</w:t>
      </w:r>
      <w:r>
        <w:rPr>
          <w:rFonts w:ascii="Times New Roman" w:eastAsia="Times New Roman" w:hAnsi="Times New Roman" w:cs="Times New Roman"/>
          <w:sz w:val="24"/>
        </w:rPr>
        <w:t xml:space="preserve">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b/>
        </w:rPr>
        <w:t xml:space="preserve">                Secretario General: </w:t>
      </w:r>
      <w:r>
        <w:rPr>
          <w:rFonts w:ascii="Arial" w:eastAsia="Arial" w:hAnsi="Arial" w:cs="Arial"/>
        </w:rPr>
        <w:t>D. Octavio Manuel Fernández Hernández.</w:t>
      </w:r>
      <w:r>
        <w:rPr>
          <w:rFonts w:ascii="Times New Roman" w:eastAsia="Times New Roman" w:hAnsi="Times New Roman" w:cs="Times New Roman"/>
          <w:sz w:val="24"/>
        </w:rPr>
        <w:t xml:space="preserve">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b/>
        </w:rPr>
        <w:t xml:space="preserve">                Interventor:  </w:t>
      </w:r>
      <w:r>
        <w:rPr>
          <w:rFonts w:ascii="Arial" w:eastAsia="Arial" w:hAnsi="Arial" w:cs="Arial"/>
        </w:rPr>
        <w:t>D. Nicolás Rojo Garnica.</w:t>
      </w:r>
      <w:r>
        <w:rPr>
          <w:rFonts w:ascii="Times New Roman" w:eastAsia="Times New Roman" w:hAnsi="Times New Roman" w:cs="Times New Roman"/>
          <w:sz w:val="24"/>
        </w:rPr>
        <w:t xml:space="preserve"> </w:t>
      </w:r>
    </w:p>
    <w:p w:rsidR="00FA7413" w:rsidRDefault="00D712A8">
      <w:pPr>
        <w:spacing w:after="24" w:line="246" w:lineRule="auto"/>
        <w:ind w:left="360" w:right="5620"/>
        <w:jc w:val="both"/>
      </w:pPr>
      <w:r>
        <w:rPr>
          <w:rFonts w:ascii="Arial" w:eastAsia="Arial" w:hAnsi="Arial" w:cs="Arial"/>
        </w:rPr>
        <w:t xml:space="preserve"> </w:t>
      </w:r>
      <w:r>
        <w:rPr>
          <w:rFonts w:ascii="Arial" w:eastAsia="Arial" w:hAnsi="Arial" w:cs="Arial"/>
          <w:sz w:val="20"/>
        </w:rPr>
        <w:t xml:space="preserve"> </w:t>
      </w:r>
    </w:p>
    <w:p w:rsidR="00FA7413" w:rsidRDefault="00D712A8">
      <w:pPr>
        <w:spacing w:after="274" w:line="250" w:lineRule="auto"/>
        <w:ind w:left="360" w:right="9577"/>
      </w:pPr>
      <w:r>
        <w:rPr>
          <w:rFonts w:ascii="Times New Roman" w:eastAsia="Times New Roman" w:hAnsi="Times New Roman" w:cs="Times New Roman"/>
          <w:sz w:val="24"/>
        </w:rPr>
        <w:t xml:space="preserve"> </w:t>
      </w: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 xml:space="preserve">En Candelaria, a 24 de junio de dos mil veintiunos, siendo las 9:00 horas, se constituyó el Ayuntamiento Pleno en </w:t>
      </w:r>
      <w:r>
        <w:rPr>
          <w:rFonts w:ascii="Arial" w:eastAsia="Arial" w:hAnsi="Arial" w:cs="Arial"/>
        </w:rPr>
        <w:t>el Salón de Sesiones de la Casa Consistorial con asistencia de los Sres. Concejales expresados al margen, y al objeto de celebrar sesión ordinaria para tratar los asuntos comprendidos en el orden del día de la convocatoria.</w:t>
      </w:r>
      <w:r>
        <w:rPr>
          <w:rFonts w:ascii="Times New Roman" w:eastAsia="Times New Roman" w:hAnsi="Times New Roman" w:cs="Times New Roman"/>
          <w:sz w:val="24"/>
        </w:rPr>
        <w:t xml:space="preserve"> </w:t>
      </w:r>
    </w:p>
    <w:p w:rsidR="00FA7413" w:rsidRDefault="00D712A8">
      <w:pPr>
        <w:spacing w:after="0"/>
        <w:ind w:left="360"/>
      </w:pPr>
      <w:r>
        <w:rPr>
          <w:rFonts w:ascii="Arial" w:eastAsia="Arial" w:hAnsi="Arial" w:cs="Arial"/>
          <w:b/>
        </w:rPr>
        <w:t xml:space="preserve"> </w:t>
      </w:r>
    </w:p>
    <w:p w:rsidR="00FA7413" w:rsidRDefault="00D712A8">
      <w:pPr>
        <w:spacing w:after="720"/>
        <w:ind w:left="4323"/>
      </w:pPr>
      <w:r>
        <w:rPr>
          <w:rFonts w:ascii="Arial" w:eastAsia="Arial" w:hAnsi="Arial" w:cs="Arial"/>
          <w:sz w:val="20"/>
        </w:rPr>
        <w:t xml:space="preserve"> </w:t>
      </w:r>
    </w:p>
    <w:p w:rsidR="00FA7413" w:rsidRDefault="00D712A8">
      <w:pPr>
        <w:spacing w:after="0"/>
        <w:ind w:left="11"/>
        <w:jc w:val="center"/>
      </w:pPr>
      <w:r>
        <w:rPr>
          <w:noProof/>
        </w:rPr>
        <w:lastRenderedPageBreak/>
        <mc:AlternateContent>
          <mc:Choice Requires="wpg">
            <w:drawing>
              <wp:inline distT="0" distB="0" distL="0" distR="0">
                <wp:extent cx="5830570" cy="17145"/>
                <wp:effectExtent l="0" t="0" r="0" b="0"/>
                <wp:docPr id="195541" name="Group 195541"/>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5541"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rFonts w:ascii="Arial" w:eastAsia="Arial" w:hAnsi="Arial" w:cs="Arial"/>
          <w:sz w:val="14"/>
        </w:rPr>
        <w:t xml:space="preserve"> </w:t>
      </w:r>
    </w:p>
    <w:p w:rsidR="00FA7413" w:rsidRDefault="00D712A8">
      <w:pPr>
        <w:spacing w:after="89" w:line="241" w:lineRule="auto"/>
        <w:ind w:left="2325" w:right="2002"/>
        <w:jc w:val="center"/>
      </w:pPr>
      <w:r>
        <w:rPr>
          <w:rFonts w:ascii="Arial" w:eastAsia="Arial" w:hAnsi="Arial" w:cs="Arial"/>
          <w:sz w:val="14"/>
        </w:rPr>
        <w:t xml:space="preserve">Avenida Constitución Nº </w:t>
      </w:r>
      <w:r>
        <w:rPr>
          <w:rFonts w:ascii="Arial" w:eastAsia="Arial" w:hAnsi="Arial" w:cs="Arial"/>
          <w:sz w:val="14"/>
        </w:rPr>
        <w:t xml:space="preserve">7. Código postal: 38530, Candelaria. Teléfono: 922.500.800. </w:t>
      </w:r>
      <w:r>
        <w:rPr>
          <w:rFonts w:ascii="Arial" w:eastAsia="Arial" w:hAnsi="Arial" w:cs="Arial"/>
          <w:b/>
          <w:sz w:val="14"/>
        </w:rPr>
        <w:t xml:space="preserve">www. candelaria. es </w: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pStyle w:val="Ttulo1"/>
        <w:spacing w:after="0"/>
        <w:ind w:left="1013" w:right="716"/>
      </w:pPr>
      <w:r>
        <w:t xml:space="preserve">ORDEN DEL DÍA </w:t>
      </w:r>
    </w:p>
    <w:p w:rsidR="00FA7413" w:rsidRDefault="00D712A8">
      <w:pPr>
        <w:spacing w:after="0"/>
        <w:ind w:left="346"/>
        <w:jc w:val="center"/>
      </w:pPr>
      <w:r>
        <w:rPr>
          <w:rFonts w:ascii="Arial" w:eastAsia="Arial" w:hAnsi="Arial" w:cs="Arial"/>
          <w:b/>
        </w:rPr>
        <w:t xml:space="preserve"> </w:t>
      </w:r>
    </w:p>
    <w:p w:rsidR="00FA7413" w:rsidRDefault="00D712A8">
      <w:pPr>
        <w:spacing w:after="0"/>
        <w:ind w:left="715" w:hanging="10"/>
      </w:pPr>
      <w:r>
        <w:rPr>
          <w:rFonts w:ascii="Arial" w:eastAsia="Arial" w:hAnsi="Arial" w:cs="Arial"/>
          <w:b/>
        </w:rPr>
        <w:t xml:space="preserve">A) </w:t>
      </w:r>
      <w:r>
        <w:rPr>
          <w:rFonts w:ascii="Arial" w:eastAsia="Arial" w:hAnsi="Arial" w:cs="Arial"/>
          <w:b/>
          <w:u w:val="single" w:color="000000"/>
        </w:rPr>
        <w:t>Parte Resolutiva de la Sesión.</w:t>
      </w: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355" w:right="64" w:hanging="10"/>
        <w:jc w:val="both"/>
      </w:pPr>
      <w:r>
        <w:rPr>
          <w:rFonts w:ascii="Arial" w:eastAsia="Arial" w:hAnsi="Arial" w:cs="Arial"/>
        </w:rPr>
        <w:t xml:space="preserve">El debate íntegro de la sesión del pleno está disponible en: </w: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spacing w:after="0"/>
        <w:ind w:left="360"/>
      </w:pPr>
      <w:r>
        <w:rPr>
          <w:rFonts w:ascii="Arial" w:eastAsia="Arial" w:hAnsi="Arial" w:cs="Arial"/>
          <w:b/>
          <w:color w:val="0000FF"/>
          <w:u w:val="single" w:color="0000FF"/>
        </w:rPr>
        <w:t>https://www.youtube.com/watch?v=FTTtROfsCO8</w:t>
      </w:r>
      <w:r>
        <w:rPr>
          <w:rFonts w:ascii="Times New Roman" w:eastAsia="Times New Roman" w:hAnsi="Times New Roman" w:cs="Times New Roman"/>
          <w:sz w:val="24"/>
        </w:rPr>
        <w:t xml:space="preserve"> </w:t>
      </w:r>
    </w:p>
    <w:p w:rsidR="00FA7413" w:rsidRDefault="00D712A8">
      <w:pPr>
        <w:spacing w:after="0" w:line="247" w:lineRule="auto"/>
        <w:ind w:left="360" w:right="9577"/>
      </w:pPr>
      <w:r>
        <w:rPr>
          <w:rFonts w:ascii="Times New Roman" w:eastAsia="Times New Roman" w:hAnsi="Times New Roman" w:cs="Times New Roman"/>
          <w:sz w:val="24"/>
        </w:rPr>
        <w:t xml:space="preserve"> </w:t>
      </w: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 xml:space="preserve">1.- </w:t>
      </w:r>
      <w:r>
        <w:rPr>
          <w:rFonts w:ascii="Arial" w:eastAsia="Arial" w:hAnsi="Arial" w:cs="Arial"/>
          <w:b/>
        </w:rPr>
        <w:t>Expediente 3468/2021. Toma de posesión de Doña Alicia Mercedes Marrero Meneses como Concejala del Ayuntamiento de Candelaria.</w:t>
      </w:r>
      <w:r>
        <w:rPr>
          <w:rFonts w:ascii="Times New Roman" w:eastAsia="Times New Roman" w:hAnsi="Times New Roman" w:cs="Times New Roman"/>
          <w:sz w:val="24"/>
        </w:rPr>
        <w:t xml:space="preserve">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2.- Expediente 5851/2021. Propuesta de la Alcaldesa-Presidenta de fecha 15 de junio de 2021 al Pleno sobre aprobación de la obr</w:t>
      </w:r>
      <w:r>
        <w:rPr>
          <w:rFonts w:ascii="Arial" w:eastAsia="Arial" w:hAnsi="Arial" w:cs="Arial"/>
          <w:b/>
        </w:rPr>
        <w:t xml:space="preserve">a musical compuesta por D. Agustín Ramos Ramos y D. Eduardo Manuel Ramos Ramos con el apoyo del Dr. D. Octavio Rodríguez Delgado, como himno oficial del municipio de la Villa de Candelaria.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3.- Expediente 5897/2021. Propuesta del Concejal delegado de Ha</w:t>
      </w:r>
      <w:r>
        <w:rPr>
          <w:rFonts w:ascii="Arial" w:eastAsia="Arial" w:hAnsi="Arial" w:cs="Arial"/>
          <w:b/>
        </w:rPr>
        <w:t>cienda de 16 de junio de 2021 al Pleno de aprobación inicial del expediente de modificación presupuestaria nº 5897/2021, por créditos extraordinarios financiado con remanente de tesorería para gastos generales por importe de 496.821,47 euros.</w:t>
      </w:r>
      <w:r>
        <w:rPr>
          <w:rFonts w:ascii="Times New Roman" w:eastAsia="Times New Roman" w:hAnsi="Times New Roman" w:cs="Times New Roman"/>
          <w:sz w:val="24"/>
        </w:rPr>
        <w:t xml:space="preserve">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62" w:hanging="10"/>
        <w:jc w:val="both"/>
      </w:pPr>
      <w:r>
        <w:rPr>
          <w:noProof/>
        </w:rPr>
        <mc:AlternateContent>
          <mc:Choice Requires="wpg">
            <w:drawing>
              <wp:anchor distT="0" distB="0" distL="114300" distR="114300" simplePos="0" relativeHeight="251661312"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195561" name="Group 195561"/>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277" name="Rectangle 277"/>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278" name="Rectangle 278"/>
                        <wps:cNvSpPr/>
                        <wps:spPr>
                          <a:xfrm rot="-5399999">
                            <a:off x="-2042224" y="1268293"/>
                            <a:ext cx="4350075"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2 de 180 </w:t>
                              </w:r>
                            </w:p>
                          </w:txbxContent>
                        </wps:txbx>
                        <wps:bodyPr horzOverflow="overflow" vert="horz" lIns="0" tIns="0" rIns="0" bIns="0" rtlCol="0">
                          <a:noAutofit/>
                        </wps:bodyPr>
                      </wps:wsp>
                    </wpg:wgp>
                  </a:graphicData>
                </a:graphic>
              </wp:anchor>
            </w:drawing>
          </mc:Choice>
          <mc:Fallback xmlns:a="http://schemas.openxmlformats.org/drawingml/2006/main">
            <w:pict>
              <v:group id="Group 195561" style="width:12.7031pt;height:275.586pt;position:absolute;mso-position-horizontal-relative:page;mso-position-horizontal:absolute;margin-left:682.278pt;mso-position-vertical-relative:page;margin-top:536.334pt;" coordsize="1613,34999">
                <v:rect id="Rectangle 277"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278" style="position:absolute;width:43500;height:1132;left:-20422;top:1268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 de 180 </w:t>
                        </w:r>
                      </w:p>
                    </w:txbxContent>
                  </v:textbox>
                </v:rect>
                <w10:wrap type="square"/>
              </v:group>
            </w:pict>
          </mc:Fallback>
        </mc:AlternateContent>
      </w:r>
      <w:r>
        <w:rPr>
          <w:rFonts w:ascii="Arial" w:eastAsia="Arial" w:hAnsi="Arial" w:cs="Arial"/>
          <w:b/>
        </w:rPr>
        <w:t xml:space="preserve">4.- Expediente 2252/2020. Toma de conocimiento de la Sentencia </w:t>
      </w:r>
      <w:r>
        <w:rPr>
          <w:rFonts w:ascii="Arial" w:eastAsia="Arial" w:hAnsi="Arial" w:cs="Arial"/>
          <w:b/>
        </w:rPr>
        <w:t>del Tribunal Superior de Justicia de Canarias de fecha 30 de septiembre de 2008 por la que se desestima el recurso interpuesto por Simón Rueda Inmobiliaria S.L. contra el PGO de Candelaria.</w:t>
      </w:r>
      <w:r>
        <w:rPr>
          <w:rFonts w:ascii="Times New Roman" w:eastAsia="Times New Roman" w:hAnsi="Times New Roman" w:cs="Times New Roman"/>
          <w:sz w:val="24"/>
        </w:rPr>
        <w:t xml:space="preserve">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5.- Expediente 2257/2020.Toma de conocimiento de la sentencia d</w:t>
      </w:r>
      <w:r>
        <w:rPr>
          <w:rFonts w:ascii="Arial" w:eastAsia="Arial" w:hAnsi="Arial" w:cs="Arial"/>
          <w:b/>
        </w:rPr>
        <w:t xml:space="preserve">el Tribunal Superior de Justicia de Canarias de 6 de marzo de 2009 por la que se desestima el recurso interpuesto por Don José Higuera Leal contra el PGO de Candelaria.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6.- Expediente 2280/2020. Toma de conocimiento de la sentencia del Tribunal Superior</w:t>
      </w:r>
      <w:r>
        <w:rPr>
          <w:rFonts w:ascii="Arial" w:eastAsia="Arial" w:hAnsi="Arial" w:cs="Arial"/>
          <w:b/>
        </w:rPr>
        <w:t xml:space="preserve"> de Justicia de Canarias de fecha 22 de junio de 2009 por la que se desestima el recurso interpuesto por Quintans y Hernández S.L. contra el PGO de Candelaria.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7.- Expediente 2254/2020. Toma de conocimiento de la sentencia del Tribunal Superior de Justi</w:t>
      </w:r>
      <w:r>
        <w:rPr>
          <w:rFonts w:ascii="Arial" w:eastAsia="Arial" w:hAnsi="Arial" w:cs="Arial"/>
          <w:b/>
        </w:rPr>
        <w:t xml:space="preserve">cia de Canarias de 28 de enero de 2010 por la que se desestima el recurso interpuesto por Don José Manuel Hernández Herrera contra el PGO de Candelaria.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 xml:space="preserve">8.- Expediente 2284/2020. Toma de conocimiento de la sentencia del Tribunal Superior de Justicia de </w:t>
      </w:r>
      <w:r>
        <w:rPr>
          <w:rFonts w:ascii="Arial" w:eastAsia="Arial" w:hAnsi="Arial" w:cs="Arial"/>
          <w:b/>
        </w:rPr>
        <w:t xml:space="preserve">Canarias de 2 de marzo de 2010 por la que se desestima el recurso interpuesto por Don Luis Javier Senante Mascareño contra el PGO de Candelaria.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lastRenderedPageBreak/>
        <w:t xml:space="preserve">9.- </w:t>
      </w:r>
      <w:r>
        <w:rPr>
          <w:rFonts w:ascii="Arial" w:eastAsia="Arial" w:hAnsi="Arial" w:cs="Arial"/>
          <w:b/>
        </w:rPr>
        <w:t>Expediente 2282/2020. Toma de conocimiento de la sentencia del Tribunal Superior de Justicia de Canarias de fecha 15 de marzo de 2010 por la que se desestima el recurso interpuesto por Don Francisco Ramón García Díaz, Doña Guadalupe García Miguel y Don Jos</w:t>
      </w:r>
      <w:r>
        <w:rPr>
          <w:rFonts w:ascii="Arial" w:eastAsia="Arial" w:hAnsi="Arial" w:cs="Arial"/>
          <w:b/>
        </w:rPr>
        <w:t xml:space="preserve">é Amaranto Caballero Mesa contra el PGO de Candelaria.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 xml:space="preserve">10.- Expediente 2329/2020.Toma de conocimiento y ejecución de la sentencia del Tribunal Superior de Justicia de Canarias de fecha 14 de marzo de 2011 por la que se estima el recurso interpuesto por </w:t>
      </w:r>
      <w:r>
        <w:rPr>
          <w:rFonts w:ascii="Arial" w:eastAsia="Arial" w:hAnsi="Arial" w:cs="Arial"/>
          <w:b/>
        </w:rPr>
        <w:t xml:space="preserve">Doña Natividad Martín Pérez y Doña Asunción Martín Pérez contra el PGO de Candelaria. </w:t>
      </w:r>
    </w:p>
    <w:p w:rsidR="00FA7413" w:rsidRDefault="00D712A8">
      <w:pPr>
        <w:spacing w:after="0"/>
        <w:ind w:left="360"/>
      </w:pPr>
      <w:r>
        <w:rPr>
          <w:rFonts w:ascii="Arial" w:eastAsia="Arial" w:hAnsi="Arial" w:cs="Arial"/>
          <w:sz w:val="20"/>
        </w:rPr>
        <w:t xml:space="preserve"> </w:t>
      </w:r>
    </w:p>
    <w:p w:rsidR="00FA7413" w:rsidRDefault="00D712A8">
      <w:pPr>
        <w:spacing w:after="0" w:line="248" w:lineRule="auto"/>
        <w:ind w:left="355" w:right="62" w:hanging="10"/>
        <w:jc w:val="both"/>
      </w:pPr>
      <w:r>
        <w:rPr>
          <w:rFonts w:ascii="Arial" w:eastAsia="Arial" w:hAnsi="Arial" w:cs="Arial"/>
          <w:b/>
        </w:rPr>
        <w:t>11.- Expediente 2328/2020. Toma de conocimiento y ejecución de la sentencia del Tribunal Superior de Justicia de Canarias de fecha 8 de julio de 2011 por la que se est</w:t>
      </w:r>
      <w:r>
        <w:rPr>
          <w:rFonts w:ascii="Arial" w:eastAsia="Arial" w:hAnsi="Arial" w:cs="Arial"/>
          <w:b/>
        </w:rPr>
        <w:t xml:space="preserve">ima el recurso interpuesto por Don Felipe González Santos contra el PGO de Candelaria.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355" w:right="62" w:hanging="10"/>
        <w:jc w:val="both"/>
      </w:pPr>
      <w:r>
        <w:rPr>
          <w:rFonts w:ascii="Arial" w:eastAsia="Arial" w:hAnsi="Arial" w:cs="Arial"/>
          <w:b/>
        </w:rPr>
        <w:t xml:space="preserve">12.- Expediente 4394/2021. Propuesta de la Alcaldesa-Presidenta de fecha 14 de junio de </w:t>
      </w:r>
    </w:p>
    <w:p w:rsidR="00FA7413" w:rsidRDefault="00D712A8">
      <w:pPr>
        <w:spacing w:after="0" w:line="248" w:lineRule="auto"/>
        <w:ind w:left="355" w:right="62" w:hanging="10"/>
        <w:jc w:val="both"/>
      </w:pPr>
      <w:r>
        <w:rPr>
          <w:rFonts w:ascii="Arial" w:eastAsia="Arial" w:hAnsi="Arial" w:cs="Arial"/>
          <w:b/>
        </w:rPr>
        <w:t>2021 al Pleno de encomienda de gestión a la entidad mercantil del Gobierno de</w:t>
      </w:r>
      <w:r>
        <w:rPr>
          <w:rFonts w:ascii="Arial" w:eastAsia="Arial" w:hAnsi="Arial" w:cs="Arial"/>
          <w:b/>
        </w:rPr>
        <w:t xml:space="preserve"> Canarias, “Gestión y Planeamiento Territorial y Medioambiental, S.A.” (GESPLAN, S.A.) a los efectos de su consideración como medio propio personificado y destinataria de encargos y encomiendas que le realice el Ayuntamiento de Candelaria.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13.- Expedien</w:t>
      </w:r>
      <w:r>
        <w:rPr>
          <w:rFonts w:ascii="Arial" w:eastAsia="Arial" w:hAnsi="Arial" w:cs="Arial"/>
          <w:b/>
        </w:rPr>
        <w:t>te 4395/2021. Propuesta de la Alcaldesa-Presidenta de fecha 14 de junio de 2021 al Pleno de encomienda de gestión a la entidad mercantil del Gobierno de Canarias GESTUR CANARIAS S.A.a los efectos de su consideración como medio propio personificado y destin</w:t>
      </w:r>
      <w:r>
        <w:rPr>
          <w:rFonts w:ascii="Arial" w:eastAsia="Arial" w:hAnsi="Arial" w:cs="Arial"/>
          <w:b/>
        </w:rPr>
        <w:t xml:space="preserve">ataria de encargos y encomiendas que le realice el Ayuntamiento de Candelaria.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 xml:space="preserve">14.- Expediente 5875/2021. Moción del Grupo Mixto con registro de entrada de fecha 15 de junio de 2021 para el desamiantado del municipio de Candelaria.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62" w:hanging="10"/>
        <w:jc w:val="both"/>
      </w:pPr>
      <w:r>
        <w:rPr>
          <w:noProof/>
        </w:rPr>
        <mc:AlternateContent>
          <mc:Choice Requires="wpg">
            <w:drawing>
              <wp:anchor distT="0" distB="0" distL="114300" distR="114300" simplePos="0" relativeHeight="251662336"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196577" name="Group 196577"/>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450" name="Rectangle 450"/>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451" name="Rectangle 451"/>
                        <wps:cNvSpPr/>
                        <wps:spPr>
                          <a:xfrm rot="-5399999">
                            <a:off x="-2042224" y="1268293"/>
                            <a:ext cx="4350075"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3 de 180 </w:t>
                              </w:r>
                            </w:p>
                          </w:txbxContent>
                        </wps:txbx>
                        <wps:bodyPr horzOverflow="overflow" vert="horz" lIns="0" tIns="0" rIns="0" bIns="0" rtlCol="0">
                          <a:noAutofit/>
                        </wps:bodyPr>
                      </wps:wsp>
                    </wpg:wgp>
                  </a:graphicData>
                </a:graphic>
              </wp:anchor>
            </w:drawing>
          </mc:Choice>
          <mc:Fallback xmlns:a="http://schemas.openxmlformats.org/drawingml/2006/main">
            <w:pict>
              <v:group id="Group 196577" style="width:12.7031pt;height:275.586pt;position:absolute;mso-position-horizontal-relative:page;mso-position-horizontal:absolute;margin-left:682.278pt;mso-position-vertical-relative:page;margin-top:536.334pt;" coordsize="1613,34999">
                <v:rect id="Rectangle 450"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451" style="position:absolute;width:43500;height:1132;left:-20422;top:1268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 de 180 </w:t>
                        </w:r>
                      </w:p>
                    </w:txbxContent>
                  </v:textbox>
                </v:rect>
                <w10:wrap type="square"/>
              </v:group>
            </w:pict>
          </mc:Fallback>
        </mc:AlternateContent>
      </w:r>
      <w:r>
        <w:rPr>
          <w:rFonts w:ascii="Arial" w:eastAsia="Arial" w:hAnsi="Arial" w:cs="Arial"/>
          <w:b/>
        </w:rPr>
        <w:t xml:space="preserve">15.- Expediente 5877/2021. Moción del Grupo Mixto por registro </w:t>
      </w:r>
      <w:r>
        <w:rPr>
          <w:rFonts w:ascii="Arial" w:eastAsia="Arial" w:hAnsi="Arial" w:cs="Arial"/>
          <w:b/>
        </w:rPr>
        <w:t>de entrada de 15 de junio de 2021 para impulsar el Fondo de Reconstrucción Municipal para paliar los efectos generados por la crisis económica y la caída de ingresos.</w:t>
      </w:r>
      <w:r>
        <w:rPr>
          <w:rFonts w:ascii="Times New Roman" w:eastAsia="Times New Roman" w:hAnsi="Times New Roman" w:cs="Times New Roman"/>
          <w:sz w:val="24"/>
        </w:rPr>
        <w:t xml:space="preserve">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355" w:right="62" w:hanging="10"/>
        <w:jc w:val="both"/>
      </w:pPr>
      <w:r>
        <w:rPr>
          <w:rFonts w:ascii="Arial" w:eastAsia="Arial" w:hAnsi="Arial" w:cs="Arial"/>
          <w:b/>
        </w:rPr>
        <w:t xml:space="preserve">16.- Urgencias.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 xml:space="preserve">17.- Expediente 7048/2019. Dación de cuenta del Decreto 1544/2021, </w:t>
      </w:r>
      <w:r>
        <w:rPr>
          <w:rFonts w:ascii="Arial" w:eastAsia="Arial" w:hAnsi="Arial" w:cs="Arial"/>
          <w:b/>
        </w:rPr>
        <w:t xml:space="preserve">de fecha 2 de junio de 2021 por el que se da cumplimiento al abono de las cantidades debidas a una trabajadora en sentencia firme de 17 de diciembre de 2019 y se cumple con el auto de 25 de mayo de 2021 del Juzgado de lo Social nº 6 (PO 87/2019). </w:t>
      </w:r>
    </w:p>
    <w:p w:rsidR="00FA7413" w:rsidRDefault="00D712A8">
      <w:pPr>
        <w:spacing w:after="0"/>
        <w:ind w:left="360"/>
      </w:pPr>
      <w:r>
        <w:rPr>
          <w:rFonts w:ascii="Arial" w:eastAsia="Arial" w:hAnsi="Arial" w:cs="Arial"/>
          <w:sz w:val="20"/>
        </w:rPr>
        <w:t xml:space="preserve"> </w:t>
      </w:r>
    </w:p>
    <w:p w:rsidR="00FA7413" w:rsidRDefault="00D712A8">
      <w:pPr>
        <w:spacing w:after="0" w:line="248" w:lineRule="auto"/>
        <w:ind w:left="355" w:right="62" w:hanging="10"/>
        <w:jc w:val="both"/>
      </w:pPr>
      <w:r>
        <w:rPr>
          <w:rFonts w:ascii="Arial" w:eastAsia="Arial" w:hAnsi="Arial" w:cs="Arial"/>
          <w:b/>
        </w:rPr>
        <w:t>18.- E</w:t>
      </w:r>
      <w:r>
        <w:rPr>
          <w:rFonts w:ascii="Arial" w:eastAsia="Arial" w:hAnsi="Arial" w:cs="Arial"/>
          <w:b/>
        </w:rPr>
        <w:t>xpediente 1341/2019. Dación de cuenta del Decreto 1510/2021, de fecha 31 de mayo de 2021 por el que se da cumplimiento al abono de las cantidades debidas a un trabajador en sentencia firme de 24 de julio de 2020 y se cumple con el auto de 25 de mayo de 202</w:t>
      </w:r>
      <w:r>
        <w:rPr>
          <w:rFonts w:ascii="Arial" w:eastAsia="Arial" w:hAnsi="Arial" w:cs="Arial"/>
          <w:b/>
        </w:rPr>
        <w:t>1 del Juzgado de lo Social nº 6 (PO 625/2018).</w:t>
      </w:r>
      <w:r>
        <w:rPr>
          <w:rFonts w:ascii="Times New Roman" w:eastAsia="Times New Roman" w:hAnsi="Times New Roman" w:cs="Times New Roman"/>
          <w:sz w:val="24"/>
        </w:rPr>
        <w:t xml:space="preserve"> </w:t>
      </w:r>
    </w:p>
    <w:p w:rsidR="00FA7413" w:rsidRDefault="00D712A8">
      <w:pPr>
        <w:spacing w:after="0"/>
        <w:ind w:left="360"/>
      </w:pPr>
      <w:r>
        <w:rPr>
          <w:rFonts w:ascii="Times New Roman" w:eastAsia="Times New Roman" w:hAnsi="Times New Roman" w:cs="Times New Roman"/>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rPr>
        <w:t xml:space="preserve"> </w:t>
      </w:r>
    </w:p>
    <w:p w:rsidR="00FA7413" w:rsidRDefault="00D712A8">
      <w:pPr>
        <w:numPr>
          <w:ilvl w:val="0"/>
          <w:numId w:val="1"/>
        </w:numPr>
        <w:spacing w:after="0"/>
        <w:ind w:hanging="360"/>
      </w:pPr>
      <w:r>
        <w:rPr>
          <w:rFonts w:ascii="Arial" w:eastAsia="Arial" w:hAnsi="Arial" w:cs="Arial"/>
          <w:b/>
          <w:u w:val="single" w:color="000000"/>
        </w:rPr>
        <w:t>Control y Fiscalización de los Órganos de Gobierno</w:t>
      </w:r>
      <w:r>
        <w:rPr>
          <w:rFonts w:ascii="Arial" w:eastAsia="Arial" w:hAnsi="Arial" w:cs="Arial"/>
        </w:rPr>
        <w:t>.</w:t>
      </w:r>
      <w:r>
        <w:rPr>
          <w:rFonts w:ascii="Times New Roman" w:eastAsia="Times New Roman" w:hAnsi="Times New Roman" w:cs="Times New Roman"/>
          <w:sz w:val="24"/>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2" w:hanging="10"/>
        <w:jc w:val="both"/>
      </w:pPr>
      <w:r>
        <w:rPr>
          <w:rFonts w:ascii="Arial" w:eastAsia="Arial" w:hAnsi="Arial" w:cs="Arial"/>
          <w:b/>
        </w:rPr>
        <w:t xml:space="preserve">19.- Dación de Cuenta de los Decretos de la Alcaldía-Presidencia y de los Concejales delegados.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 xml:space="preserve">20.- </w:t>
      </w:r>
      <w:r>
        <w:rPr>
          <w:rFonts w:ascii="Arial" w:eastAsia="Arial" w:hAnsi="Arial" w:cs="Arial"/>
          <w:b/>
        </w:rPr>
        <w:t>Informe del Interventor en su caso de las resoluciones adoptadas por la Presidenta de la Corporación Local contrarias a los reparos efectuados en cumplimiento de la Ley 27/2013, de 27 de diciembre de racionalización y sostenibilidad de la Administración Lo</w:t>
      </w:r>
      <w:r>
        <w:rPr>
          <w:rFonts w:ascii="Arial" w:eastAsia="Arial" w:hAnsi="Arial" w:cs="Arial"/>
          <w:b/>
        </w:rPr>
        <w:t>cal</w:t>
      </w:r>
      <w:r>
        <w:rPr>
          <w:rFonts w:ascii="Times New Roman" w:eastAsia="Times New Roman" w:hAnsi="Times New Roman" w:cs="Times New Roman"/>
          <w:sz w:val="24"/>
        </w:rPr>
        <w:t xml:space="preserve">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rPr>
        <w:t xml:space="preserve"> </w:t>
      </w:r>
    </w:p>
    <w:p w:rsidR="00FA7413" w:rsidRDefault="00D712A8">
      <w:pPr>
        <w:numPr>
          <w:ilvl w:val="0"/>
          <w:numId w:val="1"/>
        </w:numPr>
        <w:spacing w:after="0"/>
        <w:ind w:hanging="360"/>
      </w:pPr>
      <w:r>
        <w:rPr>
          <w:rFonts w:ascii="Arial" w:eastAsia="Arial" w:hAnsi="Arial" w:cs="Arial"/>
          <w:b/>
          <w:u w:val="single" w:color="000000"/>
        </w:rPr>
        <w:t>Ruegos y preguntas</w:t>
      </w:r>
      <w:r>
        <w:rPr>
          <w:rFonts w:ascii="Arial" w:eastAsia="Arial" w:hAnsi="Arial" w:cs="Arial"/>
          <w:b/>
        </w:rPr>
        <w:t>.</w:t>
      </w:r>
      <w:r>
        <w:rPr>
          <w:rFonts w:ascii="Times New Roman" w:eastAsia="Times New Roman" w:hAnsi="Times New Roman" w:cs="Times New Roman"/>
          <w:sz w:val="24"/>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2" w:hanging="10"/>
        <w:jc w:val="both"/>
      </w:pPr>
      <w:r>
        <w:rPr>
          <w:rFonts w:ascii="Arial" w:eastAsia="Arial" w:hAnsi="Arial" w:cs="Arial"/>
          <w:b/>
        </w:rPr>
        <w:t xml:space="preserve">21.- Ruegos y preguntas.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noProof/>
        </w:rPr>
        <mc:AlternateContent>
          <mc:Choice Requires="wpg">
            <w:drawing>
              <wp:anchor distT="0" distB="0" distL="114300" distR="114300" simplePos="0" relativeHeight="251663360" behindDoc="0" locked="0" layoutInCell="1" allowOverlap="1">
                <wp:simplePos x="0" y="0"/>
                <wp:positionH relativeFrom="page">
                  <wp:posOffset>8664935</wp:posOffset>
                </wp:positionH>
                <wp:positionV relativeFrom="page">
                  <wp:posOffset>6811442</wp:posOffset>
                </wp:positionV>
                <wp:extent cx="161330" cy="3499942"/>
                <wp:effectExtent l="0" t="0" r="0" b="0"/>
                <wp:wrapTopAndBottom/>
                <wp:docPr id="195277" name="Group 195277"/>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547" name="Rectangle 547"/>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548" name="Rectangle 548"/>
                        <wps:cNvSpPr/>
                        <wps:spPr>
                          <a:xfrm rot="-5399999">
                            <a:off x="-2042224" y="1268293"/>
                            <a:ext cx="4350075"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4 de 180 </w:t>
                              </w:r>
                            </w:p>
                          </w:txbxContent>
                        </wps:txbx>
                        <wps:bodyPr horzOverflow="overflow" vert="horz" lIns="0" tIns="0" rIns="0" bIns="0" rtlCol="0">
                          <a:noAutofit/>
                        </wps:bodyPr>
                      </wps:wsp>
                    </wpg:wgp>
                  </a:graphicData>
                </a:graphic>
              </wp:anchor>
            </w:drawing>
          </mc:Choice>
          <mc:Fallback xmlns:a="http://schemas.openxmlformats.org/drawingml/2006/main">
            <w:pict>
              <v:group id="Group 195277" style="width:12.7031pt;height:275.586pt;position:absolute;mso-position-horizontal-relative:page;mso-position-horizontal:absolute;margin-left:682.278pt;mso-position-vertical-relative:page;margin-top:536.334pt;" coordsize="1613,34999">
                <v:rect id="Rectangle 547"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548" style="position:absolute;width:43500;height:1132;left:-20422;top:1268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 de 180 </w:t>
                        </w:r>
                      </w:p>
                    </w:txbxContent>
                  </v:textbox>
                </v:rect>
                <w10:wrap type="topAndBottom"/>
              </v:group>
            </w:pict>
          </mc:Fallback>
        </mc:AlternateContent>
      </w: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sz w:val="24"/>
        </w:rPr>
        <w:t xml:space="preserve"> </w:t>
      </w:r>
    </w:p>
    <w:p w:rsidR="00FA7413" w:rsidRDefault="00D712A8">
      <w:pPr>
        <w:spacing w:after="0"/>
        <w:ind w:left="720"/>
      </w:pPr>
      <w:r>
        <w:rPr>
          <w:rFonts w:ascii="Arial" w:eastAsia="Arial" w:hAnsi="Arial" w:cs="Arial"/>
          <w:b/>
          <w:sz w:val="24"/>
        </w:rPr>
        <w:t xml:space="preserve">A) </w:t>
      </w:r>
      <w:r>
        <w:rPr>
          <w:rFonts w:ascii="Arial" w:eastAsia="Arial" w:hAnsi="Arial" w:cs="Arial"/>
          <w:b/>
          <w:sz w:val="24"/>
          <w:u w:val="single" w:color="000000"/>
        </w:rPr>
        <w:t>Parte Resolutiva de la Sesión.</w:t>
      </w:r>
      <w:r>
        <w:rPr>
          <w:rFonts w:ascii="Arial" w:eastAsia="Arial" w:hAnsi="Arial" w:cs="Arial"/>
          <w:b/>
          <w:sz w:val="24"/>
        </w:rPr>
        <w:t xml:space="preserve"> </w:t>
      </w:r>
    </w:p>
    <w:p w:rsidR="00FA7413" w:rsidRDefault="00D712A8">
      <w:pPr>
        <w:spacing w:after="0"/>
        <w:ind w:left="360"/>
      </w:pPr>
      <w:r>
        <w:rPr>
          <w:rFonts w:ascii="Arial" w:eastAsia="Arial" w:hAnsi="Arial" w:cs="Arial"/>
          <w:b/>
          <w:sz w:val="24"/>
        </w:rPr>
        <w:t xml:space="preserve"> </w:t>
      </w:r>
    </w:p>
    <w:p w:rsidR="00FA7413" w:rsidRDefault="00D712A8">
      <w:pPr>
        <w:spacing w:after="0"/>
        <w:ind w:left="360"/>
      </w:pPr>
      <w:r>
        <w:rPr>
          <w:rFonts w:ascii="Arial" w:eastAsia="Arial" w:hAnsi="Arial" w:cs="Arial"/>
          <w:b/>
          <w:sz w:val="24"/>
        </w:rPr>
        <w:t xml:space="preserve"> </w:t>
      </w:r>
    </w:p>
    <w:p w:rsidR="00FA7413" w:rsidRDefault="00D712A8">
      <w:pPr>
        <w:spacing w:after="93" w:line="249" w:lineRule="auto"/>
        <w:ind w:left="355" w:right="66" w:hanging="10"/>
        <w:jc w:val="both"/>
      </w:pPr>
      <w:r>
        <w:rPr>
          <w:rFonts w:ascii="Arial" w:eastAsia="Arial" w:hAnsi="Arial" w:cs="Arial"/>
          <w:b/>
          <w:sz w:val="24"/>
        </w:rPr>
        <w:t>1.-</w:t>
      </w:r>
      <w:r>
        <w:rPr>
          <w:rFonts w:ascii="Arial" w:eastAsia="Arial" w:hAnsi="Arial" w:cs="Arial"/>
          <w:sz w:val="24"/>
        </w:rPr>
        <w:t xml:space="preserve">  </w:t>
      </w:r>
      <w:r>
        <w:rPr>
          <w:rFonts w:ascii="Arial" w:eastAsia="Arial" w:hAnsi="Arial" w:cs="Arial"/>
          <w:b/>
          <w:sz w:val="24"/>
        </w:rPr>
        <w:t>Expediente 3468/2021. Toma de posesión de Doña Alicia Mercedes Marrero Meneses como Concejala del Ayuntamiento de Candelaria.</w:t>
      </w:r>
      <w:r>
        <w:rPr>
          <w:rFonts w:ascii="Arial" w:eastAsia="Arial" w:hAnsi="Arial" w:cs="Arial"/>
          <w:sz w:val="24"/>
        </w:rPr>
        <w:t xml:space="preserve"> </w:t>
      </w:r>
    </w:p>
    <w:p w:rsidR="00FA7413" w:rsidRDefault="00D712A8">
      <w:pPr>
        <w:spacing w:after="103"/>
        <w:ind w:left="360"/>
      </w:pPr>
      <w:r>
        <w:rPr>
          <w:rFonts w:ascii="Arial" w:eastAsia="Arial" w:hAnsi="Arial" w:cs="Arial"/>
          <w:b/>
        </w:rPr>
        <w:t xml:space="preserve"> </w:t>
      </w:r>
    </w:p>
    <w:p w:rsidR="00FA7413" w:rsidRDefault="00D712A8">
      <w:pPr>
        <w:spacing w:after="109" w:line="248" w:lineRule="auto"/>
        <w:ind w:left="355" w:right="64" w:hanging="10"/>
        <w:jc w:val="both"/>
      </w:pPr>
      <w:r>
        <w:rPr>
          <w:rFonts w:ascii="Arial" w:eastAsia="Arial" w:hAnsi="Arial" w:cs="Arial"/>
        </w:rPr>
        <w:t>El Secretario procedió a dar lectura de la credencial de concejal electo y del cumplimiento de los requisitos exigidos por el a</w:t>
      </w:r>
      <w:r>
        <w:rPr>
          <w:rFonts w:ascii="Arial" w:eastAsia="Arial" w:hAnsi="Arial" w:cs="Arial"/>
        </w:rPr>
        <w:t xml:space="preserve">rtículo 75 de la Ley de Bases del Régimen local y que acepta la relación electrónica con el Ayuntamiento. </w:t>
      </w:r>
    </w:p>
    <w:p w:rsidR="00FA7413" w:rsidRDefault="00D712A8">
      <w:pPr>
        <w:spacing w:after="98"/>
        <w:ind w:left="360"/>
      </w:pPr>
      <w:r>
        <w:rPr>
          <w:rFonts w:ascii="Arial" w:eastAsia="Arial" w:hAnsi="Arial" w:cs="Arial"/>
        </w:rPr>
        <w:t xml:space="preserve"> </w:t>
      </w:r>
    </w:p>
    <w:p w:rsidR="00FA7413" w:rsidRDefault="00D712A8">
      <w:pPr>
        <w:spacing w:after="109" w:line="248" w:lineRule="auto"/>
        <w:ind w:left="355" w:right="64" w:hanging="10"/>
        <w:jc w:val="both"/>
      </w:pPr>
      <w:r>
        <w:rPr>
          <w:rFonts w:ascii="Arial" w:eastAsia="Arial" w:hAnsi="Arial" w:cs="Arial"/>
        </w:rPr>
        <w:t xml:space="preserve">Posteriormente, tomó posesión de su cargo como Concejala del Ayuntamiento de Candelaria Doña Alicia Mercedes Marrero Meneses mediante el siguiente </w:t>
      </w:r>
      <w:r>
        <w:rPr>
          <w:rFonts w:ascii="Arial" w:eastAsia="Arial" w:hAnsi="Arial" w:cs="Arial"/>
        </w:rPr>
        <w:t xml:space="preserve">juramento: </w:t>
      </w:r>
    </w:p>
    <w:p w:rsidR="00FA7413" w:rsidRDefault="00D712A8">
      <w:pPr>
        <w:spacing w:after="106"/>
        <w:ind w:left="360"/>
      </w:pPr>
      <w:r>
        <w:rPr>
          <w:rFonts w:ascii="Arial" w:eastAsia="Arial" w:hAnsi="Arial" w:cs="Arial"/>
        </w:rPr>
        <w:t xml:space="preserve"> </w:t>
      </w:r>
    </w:p>
    <w:p w:rsidR="00FA7413" w:rsidRDefault="00D712A8">
      <w:pPr>
        <w:spacing w:after="112" w:line="247" w:lineRule="auto"/>
        <w:ind w:left="355" w:right="62" w:hanging="10"/>
        <w:jc w:val="both"/>
      </w:pPr>
      <w:r>
        <w:rPr>
          <w:rFonts w:ascii="Arial" w:eastAsia="Arial" w:hAnsi="Arial" w:cs="Arial"/>
        </w:rPr>
        <w:t xml:space="preserve"> </w:t>
      </w:r>
      <w:r>
        <w:rPr>
          <w:rFonts w:ascii="Arial" w:eastAsia="Arial" w:hAnsi="Arial" w:cs="Arial"/>
          <w:i/>
        </w:rPr>
        <w:t>“Juro cumplir fielmente las obligaciones del cargo de concejala del Ilustre Ayuntamiento de la Villa de Candelaria con lealtad al rey y guardar y hacer guardar la constitución como norma fundamental del Estado”.</w:t>
      </w:r>
      <w:r>
        <w:rPr>
          <w:rFonts w:ascii="Arial" w:eastAsia="Arial" w:hAnsi="Arial" w:cs="Arial"/>
        </w:rPr>
        <w:t xml:space="preserve"> </w:t>
      </w:r>
    </w:p>
    <w:p w:rsidR="00FA7413" w:rsidRDefault="00D712A8">
      <w:pPr>
        <w:spacing w:after="98"/>
        <w:ind w:left="360"/>
      </w:pPr>
      <w:r>
        <w:rPr>
          <w:rFonts w:ascii="Arial" w:eastAsia="Arial" w:hAnsi="Arial" w:cs="Arial"/>
          <w:i/>
        </w:rPr>
        <w:t xml:space="preserve"> </w:t>
      </w:r>
    </w:p>
    <w:p w:rsidR="00FA7413" w:rsidRDefault="00D712A8">
      <w:pPr>
        <w:spacing w:after="95"/>
        <w:ind w:left="360"/>
      </w:pPr>
      <w:r>
        <w:rPr>
          <w:rFonts w:ascii="Arial" w:eastAsia="Arial" w:hAnsi="Arial" w:cs="Arial"/>
          <w:i/>
        </w:rPr>
        <w:t xml:space="preserve"> </w:t>
      </w:r>
    </w:p>
    <w:p w:rsidR="00FA7413" w:rsidRDefault="00D712A8">
      <w:pPr>
        <w:spacing w:after="0"/>
        <w:ind w:left="360"/>
      </w:pPr>
      <w:r>
        <w:rPr>
          <w:noProof/>
        </w:rPr>
        <mc:AlternateContent>
          <mc:Choice Requires="wpg">
            <w:drawing>
              <wp:anchor distT="0" distB="0" distL="114300" distR="114300" simplePos="0" relativeHeight="251664384" behindDoc="0" locked="0" layoutInCell="1" allowOverlap="1">
                <wp:simplePos x="0" y="0"/>
                <wp:positionH relativeFrom="page">
                  <wp:posOffset>8664935</wp:posOffset>
                </wp:positionH>
                <wp:positionV relativeFrom="page">
                  <wp:posOffset>6811442</wp:posOffset>
                </wp:positionV>
                <wp:extent cx="161330" cy="3499942"/>
                <wp:effectExtent l="0" t="0" r="0" b="0"/>
                <wp:wrapTopAndBottom/>
                <wp:docPr id="195371" name="Group 195371"/>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631" name="Rectangle 631"/>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632" name="Rectangle 632"/>
                        <wps:cNvSpPr/>
                        <wps:spPr>
                          <a:xfrm rot="-5399999">
                            <a:off x="-2042224" y="1268293"/>
                            <a:ext cx="4350075"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5 de 180 </w:t>
                              </w:r>
                            </w:p>
                          </w:txbxContent>
                        </wps:txbx>
                        <wps:bodyPr horzOverflow="overflow" vert="horz" lIns="0" tIns="0" rIns="0" bIns="0" rtlCol="0">
                          <a:noAutofit/>
                        </wps:bodyPr>
                      </wps:wsp>
                    </wpg:wgp>
                  </a:graphicData>
                </a:graphic>
              </wp:anchor>
            </w:drawing>
          </mc:Choice>
          <mc:Fallback xmlns:a="http://schemas.openxmlformats.org/drawingml/2006/main">
            <w:pict>
              <v:group id="Group 195371" style="width:12.7031pt;height:275.586pt;position:absolute;mso-position-horizontal-relative:page;mso-position-horizontal:absolute;margin-left:682.278pt;mso-position-vertical-relative:page;margin-top:536.334pt;" coordsize="1613,34999">
                <v:rect id="Rectangle 631"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632" style="position:absolute;width:43500;height:1132;left:-20422;top:1268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 de 180 </w:t>
                        </w:r>
                      </w:p>
                    </w:txbxContent>
                  </v:textbox>
                </v:rect>
                <w10:wrap type="topAndBottom"/>
              </v:group>
            </w:pict>
          </mc:Fallback>
        </mc:AlternateContent>
      </w:r>
      <w:r>
        <w:rPr>
          <w:rFonts w:ascii="Arial" w:eastAsia="Arial" w:hAnsi="Arial" w:cs="Arial"/>
          <w:b/>
        </w:rPr>
        <w:t xml:space="preserve"> </w:t>
      </w:r>
    </w:p>
    <w:p w:rsidR="00FA7413" w:rsidRDefault="00D712A8">
      <w:pPr>
        <w:spacing w:after="0"/>
        <w:ind w:left="1068"/>
      </w:pPr>
      <w:r>
        <w:rPr>
          <w:rFonts w:ascii="Arial" w:eastAsia="Arial" w:hAnsi="Arial" w:cs="Arial"/>
        </w:rPr>
        <w:t xml:space="preserve"> </w:t>
      </w:r>
    </w:p>
    <w:p w:rsidR="00FA7413" w:rsidRDefault="00D712A8">
      <w:pPr>
        <w:spacing w:after="0"/>
        <w:ind w:left="1068"/>
      </w:pPr>
      <w:r>
        <w:rPr>
          <w:rFonts w:ascii="Arial" w:eastAsia="Arial" w:hAnsi="Arial" w:cs="Arial"/>
        </w:rPr>
        <w:t xml:space="preserve"> </w:t>
      </w:r>
    </w:p>
    <w:p w:rsidR="00FA7413" w:rsidRDefault="00D712A8">
      <w:pPr>
        <w:spacing w:after="0" w:line="228" w:lineRule="auto"/>
        <w:ind w:left="360" w:right="9577"/>
      </w:pPr>
      <w:r>
        <w:rPr>
          <w:rFonts w:ascii="Arial" w:eastAsia="Arial" w:hAnsi="Arial" w:cs="Arial"/>
        </w:rPr>
        <w:t xml:space="preserve"> </w:t>
      </w:r>
      <w:r>
        <w:rPr>
          <w:rFonts w:ascii="Times New Roman" w:eastAsia="Times New Roman" w:hAnsi="Times New Roman" w:cs="Times New Roman"/>
          <w:sz w:val="24"/>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26"/>
        <w:ind w:left="360"/>
      </w:pPr>
      <w:r>
        <w:rPr>
          <w:rFonts w:ascii="Arial" w:eastAsia="Arial" w:hAnsi="Arial" w:cs="Arial"/>
        </w:rPr>
        <w:t xml:space="preserve"> </w:t>
      </w:r>
    </w:p>
    <w:p w:rsidR="00FA7413" w:rsidRDefault="00D712A8">
      <w:pPr>
        <w:spacing w:after="175"/>
        <w:ind w:left="360"/>
      </w:pPr>
      <w:r>
        <w:rPr>
          <w:rFonts w:ascii="Arial" w:eastAsia="Arial" w:hAnsi="Arial" w:cs="Arial"/>
          <w:i/>
          <w:color w:val="222222"/>
        </w:rPr>
        <w:t xml:space="preserve"> </w:t>
      </w:r>
    </w:p>
    <w:p w:rsidR="00FA7413" w:rsidRDefault="00D712A8">
      <w:pPr>
        <w:spacing w:after="177"/>
        <w:ind w:left="360"/>
      </w:pPr>
      <w:r>
        <w:rPr>
          <w:rFonts w:ascii="Arial" w:eastAsia="Arial" w:hAnsi="Arial" w:cs="Arial"/>
          <w:i/>
          <w:color w:val="222222"/>
        </w:rPr>
        <w:t xml:space="preserve"> </w:t>
      </w:r>
    </w:p>
    <w:p w:rsidR="00FA7413" w:rsidRDefault="00D712A8">
      <w:pPr>
        <w:spacing w:after="175"/>
        <w:ind w:left="360"/>
      </w:pPr>
      <w:r>
        <w:rPr>
          <w:rFonts w:ascii="Arial" w:eastAsia="Arial" w:hAnsi="Arial" w:cs="Arial"/>
          <w:i/>
          <w:color w:val="222222"/>
        </w:rPr>
        <w:t xml:space="preserve"> </w:t>
      </w:r>
    </w:p>
    <w:p w:rsidR="00FA7413" w:rsidRDefault="00D712A8">
      <w:pPr>
        <w:spacing w:after="177"/>
        <w:ind w:left="360"/>
      </w:pPr>
      <w:r>
        <w:rPr>
          <w:rFonts w:ascii="Arial" w:eastAsia="Arial" w:hAnsi="Arial" w:cs="Arial"/>
          <w:i/>
          <w:color w:val="222222"/>
        </w:rPr>
        <w:t xml:space="preserve"> </w:t>
      </w:r>
    </w:p>
    <w:p w:rsidR="00FA7413" w:rsidRDefault="00D712A8">
      <w:pPr>
        <w:spacing w:after="175"/>
        <w:ind w:left="360"/>
      </w:pPr>
      <w:r>
        <w:rPr>
          <w:rFonts w:ascii="Arial" w:eastAsia="Arial" w:hAnsi="Arial" w:cs="Arial"/>
          <w:i/>
          <w:color w:val="222222"/>
        </w:rPr>
        <w:t xml:space="preserve"> </w:t>
      </w:r>
    </w:p>
    <w:p w:rsidR="00FA7413" w:rsidRDefault="00D712A8">
      <w:pPr>
        <w:spacing w:after="0" w:line="426" w:lineRule="auto"/>
        <w:ind w:left="360" w:right="9577"/>
      </w:pPr>
      <w:r>
        <w:rPr>
          <w:rFonts w:ascii="Arial" w:eastAsia="Arial" w:hAnsi="Arial" w:cs="Arial"/>
          <w:i/>
          <w:color w:val="222222"/>
        </w:rPr>
        <w:t xml:space="preserve">    </w:t>
      </w:r>
    </w:p>
    <w:p w:rsidR="00FA7413" w:rsidRDefault="00D712A8">
      <w:pPr>
        <w:spacing w:after="93" w:line="249" w:lineRule="auto"/>
        <w:ind w:left="355" w:right="66" w:hanging="10"/>
        <w:jc w:val="both"/>
      </w:pPr>
      <w:r>
        <w:rPr>
          <w:rFonts w:ascii="Arial" w:eastAsia="Arial" w:hAnsi="Arial" w:cs="Arial"/>
          <w:b/>
          <w:sz w:val="24"/>
        </w:rPr>
        <w:t>2.-</w:t>
      </w:r>
      <w:r>
        <w:rPr>
          <w:rFonts w:ascii="Arial" w:eastAsia="Arial" w:hAnsi="Arial" w:cs="Arial"/>
          <w:sz w:val="24"/>
        </w:rPr>
        <w:t xml:space="preserve">  </w:t>
      </w:r>
      <w:r>
        <w:rPr>
          <w:rFonts w:ascii="Arial" w:eastAsia="Arial" w:hAnsi="Arial" w:cs="Arial"/>
          <w:b/>
          <w:sz w:val="24"/>
        </w:rPr>
        <w:t>Expediente 5851/2021. Propuesta de la Alcaldesa-Presidenta de fecha 15 de junio de 2021 al Pleno sobre aprobación de la obra musical compuesta por D. Agustín Ramos Ramos y D. Eduardo Manuel Ramos Ramos con el apoyo del Dr. D. Octavio Rodríguez Delgado, com</w:t>
      </w:r>
      <w:r>
        <w:rPr>
          <w:rFonts w:ascii="Arial" w:eastAsia="Arial" w:hAnsi="Arial" w:cs="Arial"/>
          <w:b/>
          <w:sz w:val="24"/>
        </w:rPr>
        <w:t>o himno oficial del municipio de la Villa de Candelaria.</w:t>
      </w:r>
      <w:r>
        <w:rPr>
          <w:rFonts w:ascii="Arial" w:eastAsia="Arial" w:hAnsi="Arial" w:cs="Arial"/>
          <w:sz w:val="24"/>
        </w:rPr>
        <w:t xml:space="preserve"> </w:t>
      </w:r>
    </w:p>
    <w:p w:rsidR="00FA7413" w:rsidRDefault="00D712A8">
      <w:pPr>
        <w:spacing w:after="100"/>
        <w:ind w:left="360"/>
      </w:pP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 xml:space="preserve">Consta en el expediente propuesta de la Alcaldesa-Presidenta, de fecha 15 de junio de 2021, cuyo tenor literal es el siguiente: </w:t>
      </w:r>
    </w:p>
    <w:p w:rsidR="00FA7413" w:rsidRDefault="00D712A8">
      <w:pPr>
        <w:spacing w:after="114"/>
        <w:ind w:left="360"/>
      </w:pPr>
      <w:r>
        <w:rPr>
          <w:rFonts w:ascii="Arial" w:eastAsia="Arial" w:hAnsi="Arial" w:cs="Arial"/>
          <w:b/>
        </w:rPr>
        <w:t xml:space="preserve"> </w:t>
      </w:r>
    </w:p>
    <w:p w:rsidR="00FA7413" w:rsidRDefault="00D712A8">
      <w:pPr>
        <w:spacing w:after="0" w:line="248" w:lineRule="auto"/>
        <w:ind w:left="345" w:right="64" w:firstLine="566"/>
        <w:jc w:val="both"/>
      </w:pPr>
      <w:r>
        <w:rPr>
          <w:rFonts w:ascii="Arial" w:eastAsia="Arial" w:hAnsi="Arial" w:cs="Arial"/>
        </w:rPr>
        <w:t>“La que suscribe Alcaldesa-Presidenta del Ayuntamiento de Candela</w:t>
      </w:r>
      <w:r>
        <w:rPr>
          <w:rFonts w:ascii="Arial" w:eastAsia="Arial" w:hAnsi="Arial" w:cs="Arial"/>
        </w:rPr>
        <w:t xml:space="preserve">ria, tiene el honor de someter a la consideración del Ayuntamiento Pleno la siguiente </w:t>
      </w:r>
    </w:p>
    <w:p w:rsidR="00FA7413" w:rsidRDefault="00D712A8">
      <w:pPr>
        <w:spacing w:after="0"/>
        <w:ind w:left="927"/>
      </w:pPr>
      <w:r>
        <w:rPr>
          <w:rFonts w:ascii="Arial" w:eastAsia="Arial" w:hAnsi="Arial" w:cs="Arial"/>
        </w:rPr>
        <w:t xml:space="preserve"> </w:t>
      </w:r>
    </w:p>
    <w:p w:rsidR="00FA7413" w:rsidRDefault="00D712A8">
      <w:pPr>
        <w:spacing w:after="101"/>
        <w:ind w:left="1013" w:right="156" w:hanging="10"/>
        <w:jc w:val="center"/>
      </w:pPr>
      <w:r>
        <w:rPr>
          <w:rFonts w:ascii="Arial" w:eastAsia="Arial" w:hAnsi="Arial" w:cs="Arial"/>
        </w:rPr>
        <w:t xml:space="preserve"> </w:t>
      </w:r>
      <w:r>
        <w:rPr>
          <w:rFonts w:ascii="Arial" w:eastAsia="Arial" w:hAnsi="Arial" w:cs="Arial"/>
          <w:b/>
        </w:rPr>
        <w:t>PROPUESTA:</w:t>
      </w:r>
      <w:r>
        <w:rPr>
          <w:rFonts w:ascii="Arial" w:eastAsia="Arial" w:hAnsi="Arial" w:cs="Arial"/>
        </w:rPr>
        <w:t xml:space="preserve"> </w:t>
      </w:r>
    </w:p>
    <w:p w:rsidR="00FA7413" w:rsidRDefault="00D712A8">
      <w:pPr>
        <w:spacing w:after="109" w:line="248" w:lineRule="auto"/>
        <w:ind w:left="345" w:right="64" w:firstLine="566"/>
        <w:jc w:val="both"/>
      </w:pPr>
      <w:r>
        <w:rPr>
          <w:rFonts w:ascii="Arial" w:eastAsia="Arial" w:hAnsi="Arial" w:cs="Arial"/>
        </w:rPr>
        <w:t xml:space="preserve">El pasado día 18 de marzo, en el acto de entrega del Título de Hijo Adoptivo a Manolo Ramos, aprovechando tanto su presencia como la del prestigioso músico y compositor Agustín Ramos, Hijo Predilecto de esta Villa y del Cronista Oficial, Octavio Rodríguez </w:t>
      </w:r>
      <w:r>
        <w:rPr>
          <w:rFonts w:ascii="Arial" w:eastAsia="Arial" w:hAnsi="Arial" w:cs="Arial"/>
        </w:rPr>
        <w:t>Delgado, le hice la propuesta de que escribiesen un Himno para el Municipio de Candelaria, ya que esta Villa carece de una composición musical que la identifique, cosa que fue aceptada de inmediato por los tres, encargándose Manolo Ramos de la letra, Agust</w:t>
      </w:r>
      <w:r>
        <w:rPr>
          <w:rFonts w:ascii="Arial" w:eastAsia="Arial" w:hAnsi="Arial" w:cs="Arial"/>
        </w:rPr>
        <w:t xml:space="preserve">ín Ramos de la música y Octavio Rodríguez de supervisar la estructura del mismo. </w:t>
      </w:r>
    </w:p>
    <w:p w:rsidR="00FA7413" w:rsidRDefault="00D712A8">
      <w:pPr>
        <w:spacing w:after="109" w:line="248" w:lineRule="auto"/>
        <w:ind w:left="345" w:right="64" w:firstLine="566"/>
        <w:jc w:val="both"/>
      </w:pPr>
      <w:r>
        <w:rPr>
          <w:noProof/>
        </w:rPr>
        <mc:AlternateContent>
          <mc:Choice Requires="wpg">
            <w:drawing>
              <wp:anchor distT="0" distB="0" distL="114300" distR="114300" simplePos="0" relativeHeight="251665408"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195888" name="Group 195888"/>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757" name="Rectangle 757"/>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758" name="Rectangle 758"/>
                        <wps:cNvSpPr/>
                        <wps:spPr>
                          <a:xfrm rot="-5399999">
                            <a:off x="-2042224" y="1268293"/>
                            <a:ext cx="4350075"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6 de 180 </w:t>
                              </w:r>
                            </w:p>
                          </w:txbxContent>
                        </wps:txbx>
                        <wps:bodyPr horzOverflow="overflow" vert="horz" lIns="0" tIns="0" rIns="0" bIns="0" rtlCol="0">
                          <a:noAutofit/>
                        </wps:bodyPr>
                      </wps:wsp>
                    </wpg:wgp>
                  </a:graphicData>
                </a:graphic>
              </wp:anchor>
            </w:drawing>
          </mc:Choice>
          <mc:Fallback xmlns:a="http://schemas.openxmlformats.org/drawingml/2006/main">
            <w:pict>
              <v:group id="Group 195888" style="width:12.7031pt;height:275.586pt;position:absolute;mso-position-horizontal-relative:page;mso-position-horizontal:absolute;margin-left:682.278pt;mso-position-vertical-relative:page;margin-top:536.334pt;" coordsize="1613,34999">
                <v:rect id="Rectangle 757"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758" style="position:absolute;width:43500;height:1132;left:-20422;top:1268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 de 180 </w:t>
                        </w:r>
                      </w:p>
                    </w:txbxContent>
                  </v:textbox>
                </v:rect>
                <w10:wrap type="square"/>
              </v:group>
            </w:pict>
          </mc:Fallback>
        </mc:AlternateContent>
      </w:r>
      <w:r>
        <w:rPr>
          <w:rFonts w:ascii="Arial" w:eastAsia="Arial" w:hAnsi="Arial" w:cs="Arial"/>
        </w:rPr>
        <w:t>Sabemos que los trabajos comenzaron de inmediato, avanzando rápidamente la composición del mismo, adjuntándose a este expediente la letra y la música del mismo, en</w:t>
      </w:r>
      <w:r>
        <w:rPr>
          <w:rFonts w:ascii="Arial" w:eastAsia="Arial" w:hAnsi="Arial" w:cs="Arial"/>
        </w:rPr>
        <w:t xml:space="preserve"> el que se hace un recorrido no solo por los aspectos históricos sino también por la amplia geografía de todo el Término Municipal, quedando reflejados los valores que atesora nuestra Villa, describiendo el carácter abierto de sus habitantes y su paisaje d</w:t>
      </w:r>
      <w:r>
        <w:rPr>
          <w:rFonts w:ascii="Arial" w:eastAsia="Arial" w:hAnsi="Arial" w:cs="Arial"/>
        </w:rPr>
        <w:t xml:space="preserve">esde la cumbre hasta la arena. </w:t>
      </w:r>
    </w:p>
    <w:p w:rsidR="00FA7413" w:rsidRDefault="00D712A8">
      <w:pPr>
        <w:spacing w:after="233" w:line="248" w:lineRule="auto"/>
        <w:ind w:left="937" w:right="64" w:hanging="10"/>
        <w:jc w:val="both"/>
      </w:pPr>
      <w:r>
        <w:rPr>
          <w:rFonts w:ascii="Arial" w:eastAsia="Arial" w:hAnsi="Arial" w:cs="Arial"/>
        </w:rPr>
        <w:t xml:space="preserve">Por todo lo expuesto, se propone al Ayuntamiento Pleno la adopción del siguiente  </w:t>
      </w:r>
    </w:p>
    <w:p w:rsidR="00FA7413" w:rsidRDefault="00D712A8">
      <w:pPr>
        <w:spacing w:after="227"/>
        <w:ind w:left="1013" w:right="154" w:hanging="10"/>
        <w:jc w:val="center"/>
      </w:pPr>
      <w:r>
        <w:rPr>
          <w:rFonts w:ascii="Arial" w:eastAsia="Arial" w:hAnsi="Arial" w:cs="Arial"/>
          <w:b/>
        </w:rPr>
        <w:t xml:space="preserve">ACUERDO: </w:t>
      </w:r>
    </w:p>
    <w:p w:rsidR="00FA7413" w:rsidRDefault="00D712A8">
      <w:pPr>
        <w:spacing w:after="0" w:line="248" w:lineRule="auto"/>
        <w:ind w:left="345" w:right="64" w:firstLine="566"/>
        <w:jc w:val="both"/>
      </w:pPr>
      <w:r>
        <w:rPr>
          <w:rFonts w:ascii="Arial" w:eastAsia="Arial" w:hAnsi="Arial" w:cs="Arial"/>
          <w:b/>
        </w:rPr>
        <w:t>1.-</w:t>
      </w:r>
      <w:r>
        <w:rPr>
          <w:rFonts w:ascii="Arial" w:eastAsia="Arial" w:hAnsi="Arial" w:cs="Arial"/>
        </w:rPr>
        <w:t xml:space="preserve"> Aprobar la obra musical compuesta por D. Agustín Ramos Ramos y D. Eduardo Manuel Ramos Ramos con el apoyo del Dr. D. Octavio Ro</w:t>
      </w:r>
      <w:r>
        <w:rPr>
          <w:rFonts w:ascii="Arial" w:eastAsia="Arial" w:hAnsi="Arial" w:cs="Arial"/>
        </w:rPr>
        <w:t>dríguez Delgado, como Himno Oficial del Municipio de la Villa de Candelaria.</w:t>
      </w:r>
      <w:r>
        <w:rPr>
          <w:rFonts w:ascii="Times New Roman" w:eastAsia="Times New Roman" w:hAnsi="Times New Roman" w:cs="Times New Roman"/>
          <w:sz w:val="24"/>
        </w:rPr>
        <w:t xml:space="preserve"> </w:t>
      </w:r>
    </w:p>
    <w:p w:rsidR="00FA7413" w:rsidRDefault="00D712A8">
      <w:pPr>
        <w:spacing w:after="0" w:line="248" w:lineRule="auto"/>
        <w:ind w:left="345" w:right="64" w:firstLine="566"/>
        <w:jc w:val="both"/>
      </w:pPr>
      <w:r>
        <w:rPr>
          <w:rFonts w:ascii="Arial" w:eastAsia="Arial" w:hAnsi="Arial" w:cs="Arial"/>
          <w:b/>
        </w:rPr>
        <w:t xml:space="preserve">2.- </w:t>
      </w:r>
      <w:r>
        <w:rPr>
          <w:rFonts w:ascii="Arial" w:eastAsia="Arial" w:hAnsi="Arial" w:cs="Arial"/>
        </w:rPr>
        <w:t>La composición deberá interpretarse en la forma original del mismo, salvo cuando lo haga con los Himnos Nacional y de Canarias, que lo hará en la forma breve del mismo.</w:t>
      </w:r>
      <w:r>
        <w:rPr>
          <w:rFonts w:ascii="Times New Roman" w:eastAsia="Times New Roman" w:hAnsi="Times New Roman" w:cs="Times New Roman"/>
          <w:sz w:val="24"/>
        </w:rPr>
        <w:t xml:space="preserve"> </w:t>
      </w:r>
    </w:p>
    <w:p w:rsidR="00FA7413" w:rsidRDefault="00D712A8">
      <w:pPr>
        <w:spacing w:after="0" w:line="248" w:lineRule="auto"/>
        <w:ind w:left="345" w:right="64" w:firstLine="566"/>
        <w:jc w:val="both"/>
      </w:pPr>
      <w:r>
        <w:rPr>
          <w:rFonts w:ascii="Arial" w:eastAsia="Arial" w:hAnsi="Arial" w:cs="Arial"/>
          <w:b/>
        </w:rPr>
        <w:t xml:space="preserve">3.- </w:t>
      </w:r>
      <w:r>
        <w:rPr>
          <w:rFonts w:ascii="Arial" w:eastAsia="Arial" w:hAnsi="Arial" w:cs="Arial"/>
        </w:rPr>
        <w:t>La letra no debe sufrir modificación alguna sin que lo apruebe el órgano competente de este Ayuntamiento.</w:t>
      </w:r>
      <w:r>
        <w:rPr>
          <w:rFonts w:ascii="Times New Roman" w:eastAsia="Times New Roman" w:hAnsi="Times New Roman" w:cs="Times New Roman"/>
          <w:sz w:val="24"/>
        </w:rPr>
        <w:t xml:space="preserve"> </w:t>
      </w:r>
    </w:p>
    <w:p w:rsidR="00FA7413" w:rsidRDefault="00D712A8">
      <w:pPr>
        <w:spacing w:after="0" w:line="248" w:lineRule="auto"/>
        <w:ind w:left="345" w:right="64" w:firstLine="566"/>
        <w:jc w:val="both"/>
      </w:pPr>
      <w:r>
        <w:rPr>
          <w:rFonts w:ascii="Arial" w:eastAsia="Arial" w:hAnsi="Arial" w:cs="Arial"/>
          <w:b/>
        </w:rPr>
        <w:t>4.-</w:t>
      </w:r>
      <w:r>
        <w:rPr>
          <w:rFonts w:ascii="Arial" w:eastAsia="Arial" w:hAnsi="Arial" w:cs="Arial"/>
        </w:rPr>
        <w:t xml:space="preserve"> Remitir copia del Himno de la Villa de Candelaria a la Banda las Candelas, Nueva Banda de Igueste, Coral Municipal Villa de Candelaria, así como </w:t>
      </w:r>
      <w:r>
        <w:rPr>
          <w:rFonts w:ascii="Arial" w:eastAsia="Arial" w:hAnsi="Arial" w:cs="Arial"/>
        </w:rPr>
        <w:t>a los colectivos musicales del municipio (Rondallas, Grupos Musicales, Orquestas, etc.), para su conocimiento e incorporación a su repertorio.</w:t>
      </w:r>
      <w:r>
        <w:rPr>
          <w:rFonts w:ascii="Times New Roman" w:eastAsia="Times New Roman" w:hAnsi="Times New Roman" w:cs="Times New Roman"/>
          <w:sz w:val="24"/>
        </w:rPr>
        <w:t xml:space="preserve"> </w:t>
      </w:r>
    </w:p>
    <w:p w:rsidR="00FA7413" w:rsidRDefault="00D712A8">
      <w:pPr>
        <w:spacing w:after="0" w:line="248" w:lineRule="auto"/>
        <w:ind w:left="345" w:right="64" w:firstLine="566"/>
        <w:jc w:val="both"/>
      </w:pPr>
      <w:r>
        <w:rPr>
          <w:rFonts w:ascii="Arial" w:eastAsia="Arial" w:hAnsi="Arial" w:cs="Arial"/>
          <w:b/>
        </w:rPr>
        <w:t>5.-</w:t>
      </w:r>
      <w:r>
        <w:rPr>
          <w:rFonts w:ascii="Arial" w:eastAsia="Arial" w:hAnsi="Arial" w:cs="Arial"/>
        </w:rPr>
        <w:t xml:space="preserve"> Dar traslado del presente acuerdo a D. Eduardo Manuel Ramos Ramos, D. Agustín Ramos Ramos y D. Octavio Rodrí</w:t>
      </w:r>
      <w:r>
        <w:rPr>
          <w:rFonts w:ascii="Arial" w:eastAsia="Arial" w:hAnsi="Arial" w:cs="Arial"/>
        </w:rPr>
        <w:t>guez Delgado, haciéndoles llegar nuestro profundo agradecimiento por su extraordinaria aportación al acervo cultural del Municipio de la Villa de Candelaria.</w:t>
      </w:r>
      <w:r>
        <w:rPr>
          <w:rFonts w:ascii="Times New Roman" w:eastAsia="Times New Roman" w:hAnsi="Times New Roman" w:cs="Times New Roman"/>
          <w:sz w:val="24"/>
        </w:rPr>
        <w:t xml:space="preserve"> </w:t>
      </w:r>
    </w:p>
    <w:p w:rsidR="00FA7413" w:rsidRDefault="00D712A8">
      <w:pPr>
        <w:spacing w:after="109" w:line="248" w:lineRule="auto"/>
        <w:ind w:left="345" w:right="64" w:firstLine="566"/>
        <w:jc w:val="both"/>
      </w:pPr>
      <w:r>
        <w:rPr>
          <w:rFonts w:ascii="Arial" w:eastAsia="Arial" w:hAnsi="Arial" w:cs="Arial"/>
          <w:b/>
        </w:rPr>
        <w:t xml:space="preserve">6.- </w:t>
      </w:r>
      <w:r>
        <w:rPr>
          <w:rFonts w:ascii="Arial" w:eastAsia="Arial" w:hAnsi="Arial" w:cs="Arial"/>
        </w:rPr>
        <w:t>Que por parte de los autores se registre, tanto la letra como la música, ante la Sociedad Gen</w:t>
      </w:r>
      <w:r>
        <w:rPr>
          <w:rFonts w:ascii="Arial" w:eastAsia="Arial" w:hAnsi="Arial" w:cs="Arial"/>
        </w:rPr>
        <w:t>eral de Autores y Editores en Santa Cruz de Tenerife, cediendo los derechos al Ilustre Ayuntamiento de la Siempre Abnegada y Piadosa Villa de Candelaria.</w:t>
      </w:r>
      <w:r>
        <w:rPr>
          <w:rFonts w:ascii="Times New Roman" w:eastAsia="Times New Roman" w:hAnsi="Times New Roman" w:cs="Times New Roman"/>
          <w:sz w:val="24"/>
        </w:rPr>
        <w:t xml:space="preserve"> </w:t>
      </w:r>
    </w:p>
    <w:p w:rsidR="00FA7413" w:rsidRDefault="00D712A8">
      <w:pPr>
        <w:spacing w:after="23" w:line="248" w:lineRule="auto"/>
        <w:ind w:left="345" w:right="64" w:firstLine="566"/>
        <w:jc w:val="both"/>
      </w:pPr>
      <w:r>
        <w:rPr>
          <w:rFonts w:ascii="Arial" w:eastAsia="Arial" w:hAnsi="Arial" w:cs="Arial"/>
          <w:b/>
        </w:rPr>
        <w:t>7.-</w:t>
      </w:r>
      <w:r>
        <w:rPr>
          <w:rFonts w:ascii="Arial" w:eastAsia="Arial" w:hAnsi="Arial" w:cs="Arial"/>
        </w:rPr>
        <w:t xml:space="preserve"> Organizar un acto para presentar ante el público este Himno de la Villa de Candelaria, en cuanto </w:t>
      </w:r>
      <w:r>
        <w:rPr>
          <w:rFonts w:ascii="Arial" w:eastAsia="Arial" w:hAnsi="Arial" w:cs="Arial"/>
        </w:rPr>
        <w:t>la situación sanitaria lo permita.</w:t>
      </w:r>
      <w:r>
        <w:rPr>
          <w:rFonts w:ascii="Times New Roman" w:eastAsia="Times New Roman" w:hAnsi="Times New Roman" w:cs="Times New Roman"/>
          <w:sz w:val="24"/>
        </w:rPr>
        <w:t xml:space="preserve"> </w:t>
      </w:r>
    </w:p>
    <w:p w:rsidR="00FA7413" w:rsidRDefault="00D712A8">
      <w:pPr>
        <w:spacing w:after="11" w:line="248" w:lineRule="auto"/>
        <w:ind w:left="937" w:right="64" w:hanging="10"/>
        <w:jc w:val="both"/>
      </w:pPr>
      <w:r>
        <w:rPr>
          <w:rFonts w:ascii="Arial" w:eastAsia="Arial" w:hAnsi="Arial" w:cs="Arial"/>
          <w:b/>
        </w:rPr>
        <w:t xml:space="preserve">8.- </w:t>
      </w:r>
      <w:r>
        <w:rPr>
          <w:rFonts w:ascii="Arial" w:eastAsia="Arial" w:hAnsi="Arial" w:cs="Arial"/>
        </w:rPr>
        <w:t>Facultar ampliamente a la Alcaldía para la ejecución del presente acuerdo.”</w:t>
      </w:r>
      <w:r>
        <w:rPr>
          <w:rFonts w:ascii="Times New Roman" w:eastAsia="Times New Roman" w:hAnsi="Times New Roman" w:cs="Times New Roman"/>
          <w:sz w:val="24"/>
        </w:rPr>
        <w:t xml:space="preserve"> </w:t>
      </w:r>
    </w:p>
    <w:p w:rsidR="00FA7413" w:rsidRDefault="00D712A8">
      <w:pPr>
        <w:spacing w:after="0"/>
        <w:ind w:left="927"/>
      </w:pPr>
      <w:r>
        <w:rPr>
          <w:rFonts w:ascii="Arial" w:eastAsia="Arial" w:hAnsi="Arial" w:cs="Arial"/>
        </w:rPr>
        <w:t xml:space="preserve"> </w:t>
      </w:r>
    </w:p>
    <w:p w:rsidR="00FA7413" w:rsidRDefault="00D712A8">
      <w:pPr>
        <w:spacing w:after="11" w:line="248" w:lineRule="auto"/>
        <w:ind w:left="937" w:right="64" w:hanging="10"/>
        <w:jc w:val="both"/>
      </w:pPr>
      <w:r>
        <w:rPr>
          <w:rFonts w:ascii="Arial" w:eastAsia="Arial" w:hAnsi="Arial" w:cs="Arial"/>
        </w:rPr>
        <w:t>No obstante, el Ayuntamiento Pleno acordará lo más procedente.</w:t>
      </w:r>
      <w:r>
        <w:rPr>
          <w:rFonts w:ascii="Times New Roman" w:eastAsia="Times New Roman" w:hAnsi="Times New Roman" w:cs="Times New Roman"/>
          <w:sz w:val="24"/>
        </w:rPr>
        <w:t xml:space="preserve"> </w:t>
      </w:r>
    </w:p>
    <w:p w:rsidR="00FA7413" w:rsidRDefault="00D712A8">
      <w:pPr>
        <w:spacing w:after="0"/>
        <w:ind w:left="927"/>
      </w:pPr>
      <w:r>
        <w:rPr>
          <w:rFonts w:ascii="Arial" w:eastAsia="Arial" w:hAnsi="Arial" w:cs="Arial"/>
        </w:rPr>
        <w:t xml:space="preserve"> </w:t>
      </w:r>
    </w:p>
    <w:p w:rsidR="00FA7413" w:rsidRDefault="00D712A8">
      <w:pPr>
        <w:spacing w:after="0"/>
        <w:ind w:left="927"/>
      </w:pPr>
      <w:r>
        <w:rPr>
          <w:rFonts w:ascii="Arial" w:eastAsia="Arial" w:hAnsi="Arial" w:cs="Arial"/>
        </w:rPr>
        <w:t xml:space="preserve"> </w:t>
      </w:r>
    </w:p>
    <w:p w:rsidR="00FA7413" w:rsidRDefault="00D712A8">
      <w:pPr>
        <w:spacing w:after="0"/>
        <w:ind w:left="927"/>
      </w:pPr>
      <w:r>
        <w:rPr>
          <w:rFonts w:ascii="Arial" w:eastAsia="Arial" w:hAnsi="Arial" w:cs="Arial"/>
        </w:rPr>
        <w:t xml:space="preserve"> </w:t>
      </w:r>
    </w:p>
    <w:p w:rsidR="00FA7413" w:rsidRDefault="00D712A8">
      <w:pPr>
        <w:spacing w:after="14"/>
        <w:ind w:left="927"/>
      </w:pPr>
      <w:r>
        <w:rPr>
          <w:rFonts w:ascii="Arial" w:eastAsia="Arial" w:hAnsi="Arial" w:cs="Arial"/>
        </w:rPr>
        <w:t xml:space="preserve"> </w:t>
      </w:r>
    </w:p>
    <w:p w:rsidR="00FA7413" w:rsidRDefault="00D712A8">
      <w:pPr>
        <w:pStyle w:val="Ttulo1"/>
        <w:spacing w:after="0"/>
        <w:ind w:left="1013" w:right="717"/>
      </w:pPr>
      <w:r>
        <w:t xml:space="preserve">“HIMNO DE CANDELARIA </w:t>
      </w:r>
    </w:p>
    <w:p w:rsidR="00FA7413" w:rsidRDefault="00D712A8">
      <w:pPr>
        <w:spacing w:after="0"/>
        <w:ind w:left="346"/>
        <w:jc w:val="center"/>
      </w:pPr>
      <w:r>
        <w:rPr>
          <w:rFonts w:ascii="Arial" w:eastAsia="Arial" w:hAnsi="Arial" w:cs="Arial"/>
          <w:b/>
        </w:rPr>
        <w:t xml:space="preserve"> </w:t>
      </w:r>
    </w:p>
    <w:p w:rsidR="00FA7413" w:rsidRDefault="00D712A8">
      <w:pPr>
        <w:spacing w:after="0"/>
        <w:ind w:left="346"/>
        <w:jc w:val="center"/>
      </w:pPr>
      <w:r>
        <w:rPr>
          <w:rFonts w:ascii="Arial" w:eastAsia="Arial" w:hAnsi="Arial" w:cs="Arial"/>
          <w:b/>
        </w:rPr>
        <w:t xml:space="preserve"> </w:t>
      </w:r>
    </w:p>
    <w:p w:rsidR="00FA7413" w:rsidRDefault="00D712A8">
      <w:pPr>
        <w:spacing w:after="0" w:line="248" w:lineRule="auto"/>
        <w:ind w:left="7379" w:right="62" w:firstLine="247"/>
        <w:jc w:val="both"/>
      </w:pPr>
      <w:r>
        <w:rPr>
          <w:rFonts w:ascii="Arial" w:eastAsia="Arial" w:hAnsi="Arial" w:cs="Arial"/>
          <w:b/>
        </w:rPr>
        <w:t xml:space="preserve">Letra: Manolo Ramos. </w:t>
      </w:r>
      <w:r>
        <w:rPr>
          <w:rFonts w:ascii="Arial" w:eastAsia="Arial" w:hAnsi="Arial" w:cs="Arial"/>
          <w:b/>
        </w:rPr>
        <w:t xml:space="preserve">Música: Agustín Ramos. </w:t>
      </w:r>
    </w:p>
    <w:p w:rsidR="00FA7413" w:rsidRDefault="00D712A8">
      <w:pPr>
        <w:spacing w:after="0"/>
        <w:ind w:left="360"/>
      </w:pPr>
      <w:r>
        <w:rPr>
          <w:rFonts w:ascii="Arial" w:eastAsia="Arial" w:hAnsi="Arial" w:cs="Arial"/>
        </w:rPr>
        <w:t xml:space="preserve"> </w:t>
      </w:r>
    </w:p>
    <w:p w:rsidR="00FA7413" w:rsidRDefault="00D712A8">
      <w:pPr>
        <w:spacing w:after="3" w:line="241" w:lineRule="auto"/>
        <w:ind w:left="355" w:right="6423" w:hanging="10"/>
      </w:pPr>
      <w:r>
        <w:rPr>
          <w:rFonts w:ascii="Arial" w:eastAsia="Arial" w:hAnsi="Arial" w:cs="Arial"/>
        </w:rPr>
        <w:t xml:space="preserve">Aparece en Chimisay una mujer extranjera, mudos los guanches la observan con su Niño y La Candela. En la cueva del Mencey la custodian con plegarias,  luego, Ella, desde Achbinico le da nombre a Candelaria. </w:t>
      </w:r>
    </w:p>
    <w:p w:rsidR="00FA7413" w:rsidRDefault="00D712A8">
      <w:pPr>
        <w:spacing w:after="0"/>
        <w:ind w:left="360"/>
      </w:pPr>
      <w:r>
        <w:rPr>
          <w:noProof/>
        </w:rPr>
        <mc:AlternateContent>
          <mc:Choice Requires="wpg">
            <w:drawing>
              <wp:anchor distT="0" distB="0" distL="114300" distR="114300" simplePos="0" relativeHeight="251666432"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195556" name="Group 195556"/>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877" name="Rectangle 877"/>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878" name="Rectangle 878"/>
                        <wps:cNvSpPr/>
                        <wps:spPr>
                          <a:xfrm rot="-5399999">
                            <a:off x="-2042224" y="1268293"/>
                            <a:ext cx="4350075"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7 de 180 </w:t>
                              </w:r>
                            </w:p>
                          </w:txbxContent>
                        </wps:txbx>
                        <wps:bodyPr horzOverflow="overflow" vert="horz" lIns="0" tIns="0" rIns="0" bIns="0" rtlCol="0">
                          <a:noAutofit/>
                        </wps:bodyPr>
                      </wps:wsp>
                    </wpg:wgp>
                  </a:graphicData>
                </a:graphic>
              </wp:anchor>
            </w:drawing>
          </mc:Choice>
          <mc:Fallback xmlns:a="http://schemas.openxmlformats.org/drawingml/2006/main">
            <w:pict>
              <v:group id="Group 195556" style="width:12.7031pt;height:275.586pt;position:absolute;mso-position-horizontal-relative:page;mso-position-horizontal:absolute;margin-left:682.278pt;mso-position-vertical-relative:page;margin-top:536.334pt;" coordsize="1613,34999">
                <v:rect id="Rectangle 877"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878" style="position:absolute;width:43500;height:1132;left:-20422;top:1268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 de 180 </w:t>
                        </w:r>
                      </w:p>
                    </w:txbxContent>
                  </v:textbox>
                </v:rect>
                <w10:wrap type="square"/>
              </v:group>
            </w:pict>
          </mc:Fallback>
        </mc:AlternateContent>
      </w: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           Estribillo </w:t>
      </w:r>
    </w:p>
    <w:p w:rsidR="00FA7413" w:rsidRDefault="00D712A8">
      <w:pPr>
        <w:spacing w:after="0"/>
        <w:ind w:left="360"/>
      </w:pPr>
      <w:r>
        <w:rPr>
          <w:rFonts w:ascii="Arial" w:eastAsia="Arial" w:hAnsi="Arial" w:cs="Arial"/>
        </w:rPr>
        <w:t xml:space="preserve"> </w:t>
      </w:r>
    </w:p>
    <w:p w:rsidR="00FA7413" w:rsidRDefault="00D712A8">
      <w:pPr>
        <w:spacing w:after="3" w:line="241" w:lineRule="auto"/>
        <w:ind w:left="355" w:right="6152" w:hanging="10"/>
      </w:pPr>
      <w:r>
        <w:rPr>
          <w:rFonts w:ascii="Arial" w:eastAsia="Arial" w:hAnsi="Arial" w:cs="Arial"/>
        </w:rPr>
        <w:t xml:space="preserve">Le canto a mi tierra guanche, </w:t>
      </w:r>
      <w:r>
        <w:rPr>
          <w:rFonts w:ascii="Arial" w:eastAsia="Arial" w:hAnsi="Arial" w:cs="Arial"/>
        </w:rPr>
        <w:t xml:space="preserve">corazón de las Canarias,  donde habita la Patrona             BIS La Virgen de Candelaria. </w:t>
      </w:r>
    </w:p>
    <w:p w:rsidR="00FA7413" w:rsidRDefault="00D712A8">
      <w:pPr>
        <w:spacing w:after="0"/>
        <w:ind w:left="360"/>
      </w:pPr>
      <w:r>
        <w:rPr>
          <w:rFonts w:ascii="Arial" w:eastAsia="Arial" w:hAnsi="Arial" w:cs="Arial"/>
        </w:rPr>
        <w:t xml:space="preserve"> </w:t>
      </w:r>
    </w:p>
    <w:p w:rsidR="00FA7413" w:rsidRDefault="00D712A8">
      <w:pPr>
        <w:spacing w:after="3" w:line="241" w:lineRule="auto"/>
        <w:ind w:left="355" w:right="7002" w:hanging="10"/>
      </w:pPr>
      <w:r>
        <w:rPr>
          <w:rFonts w:ascii="Arial" w:eastAsia="Arial" w:hAnsi="Arial" w:cs="Arial"/>
        </w:rPr>
        <w:t xml:space="preserve">La mar besa con sus olas La Viuda y Las Caletillas  y a la Villa da calor, </w:t>
      </w:r>
    </w:p>
    <w:p w:rsidR="00FA7413" w:rsidRDefault="00D712A8">
      <w:pPr>
        <w:spacing w:after="3" w:line="241" w:lineRule="auto"/>
        <w:ind w:left="355" w:right="6347" w:hanging="10"/>
      </w:pPr>
      <w:r>
        <w:rPr>
          <w:rFonts w:ascii="Arial" w:eastAsia="Arial" w:hAnsi="Arial" w:cs="Arial"/>
        </w:rPr>
        <w:t>La Candela que más brilla. Olor a pino en el monte, desde Barranco Hondo a Igueste, de</w:t>
      </w:r>
      <w:r>
        <w:rPr>
          <w:rFonts w:ascii="Arial" w:eastAsia="Arial" w:hAnsi="Arial" w:cs="Arial"/>
        </w:rPr>
        <w:t xml:space="preserve"> Araya a Las Cuevecitas y al Malpaís, bello y agreste.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          Orquesta </w:t>
      </w:r>
    </w:p>
    <w:p w:rsidR="00FA7413" w:rsidRDefault="00D712A8">
      <w:pPr>
        <w:spacing w:after="0"/>
        <w:ind w:left="360"/>
      </w:pPr>
      <w:r>
        <w:rPr>
          <w:rFonts w:ascii="Arial" w:eastAsia="Arial" w:hAnsi="Arial" w:cs="Arial"/>
        </w:rPr>
        <w:t xml:space="preserve"> </w:t>
      </w:r>
    </w:p>
    <w:p w:rsidR="00FA7413" w:rsidRDefault="00D712A8">
      <w:pPr>
        <w:spacing w:after="3" w:line="241" w:lineRule="auto"/>
        <w:ind w:left="355" w:right="7047" w:hanging="10"/>
      </w:pPr>
      <w:r>
        <w:rPr>
          <w:rFonts w:ascii="Arial" w:eastAsia="Arial" w:hAnsi="Arial" w:cs="Arial"/>
        </w:rPr>
        <w:t>El alma del pescador pulula por la bahía, lo espera la pescadora cuando va a rayar el día. La alfarera con sus manos desde temprano se afana, a darle forma a la arcilla al ampa</w:t>
      </w:r>
      <w:r>
        <w:rPr>
          <w:rFonts w:ascii="Arial" w:eastAsia="Arial" w:hAnsi="Arial" w:cs="Arial"/>
        </w:rPr>
        <w:t xml:space="preserve">ro de Santa Ana.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Estribillo tres veces y coda:  </w:t>
      </w:r>
    </w:p>
    <w:p w:rsidR="00FA7413" w:rsidRDefault="00D712A8">
      <w:pPr>
        <w:spacing w:after="16"/>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Quiero que mi voz se apague en Candelaria.” </w:t>
      </w:r>
    </w:p>
    <w:p w:rsidR="00FA7413" w:rsidRDefault="00D712A8">
      <w:pPr>
        <w:spacing w:after="0"/>
        <w:ind w:left="927"/>
      </w:pPr>
      <w:r>
        <w:rPr>
          <w:rFonts w:ascii="Arial" w:eastAsia="Arial" w:hAnsi="Arial" w:cs="Arial"/>
        </w:rPr>
        <w:t xml:space="preserve"> </w:t>
      </w:r>
    </w:p>
    <w:p w:rsidR="00FA7413" w:rsidRDefault="00D712A8">
      <w:pPr>
        <w:spacing w:after="0"/>
        <w:ind w:left="927"/>
      </w:pPr>
      <w:r>
        <w:rPr>
          <w:rFonts w:ascii="Arial" w:eastAsia="Arial" w:hAnsi="Arial" w:cs="Arial"/>
        </w:rPr>
        <w:t xml:space="preserve"> </w:t>
      </w:r>
    </w:p>
    <w:p w:rsidR="00FA7413" w:rsidRDefault="00D712A8">
      <w:pPr>
        <w:spacing w:after="0" w:line="248" w:lineRule="auto"/>
        <w:ind w:left="355" w:right="62" w:hanging="10"/>
        <w:jc w:val="both"/>
      </w:pPr>
      <w:r>
        <w:rPr>
          <w:rFonts w:ascii="Arial" w:eastAsia="Arial" w:hAnsi="Arial" w:cs="Arial"/>
          <w:b/>
        </w:rPr>
        <w:t xml:space="preserve">Consta en el expediente himno corregido de fecha 21 de junio de 2021 firmado por Don José Francisco Pinto Ramos.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 xml:space="preserve">DICTAMEN FAVORABLE DE LA COMISIÓN INFORMATIVA DE HACIENDA, RECURSOS HUMANOS Y SERVICIOS GENERALES DE 21 DE JUNIO DE 2021.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355" w:right="64" w:hanging="10"/>
        <w:jc w:val="both"/>
      </w:pPr>
      <w:r>
        <w:rPr>
          <w:rFonts w:ascii="Arial" w:eastAsia="Arial" w:hAnsi="Arial" w:cs="Arial"/>
        </w:rPr>
        <w:t xml:space="preserve">Votos a favor: 6. </w:t>
      </w:r>
    </w:p>
    <w:p w:rsidR="00FA7413" w:rsidRDefault="00D712A8">
      <w:pPr>
        <w:spacing w:after="0" w:line="248" w:lineRule="auto"/>
        <w:ind w:left="355" w:right="64" w:hanging="10"/>
        <w:jc w:val="both"/>
      </w:pPr>
      <w:r>
        <w:rPr>
          <w:rFonts w:ascii="Arial" w:eastAsia="Arial" w:hAnsi="Arial" w:cs="Arial"/>
        </w:rPr>
        <w:t>4 concejales del Grupo Socialista: Don Airam Pérez Chinea, Don José Francisco Pinto Ramos, Doña Hilaria Cecilia</w:t>
      </w:r>
      <w:r>
        <w:rPr>
          <w:rFonts w:ascii="Arial" w:eastAsia="Arial" w:hAnsi="Arial" w:cs="Arial"/>
        </w:rPr>
        <w:t xml:space="preserve"> Otazo González, Doña Margarita Eva Tendero Barroso.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1 de la concejal del Grupo Popular, Doña Raquel Martín Castro.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1 de la concejal del Grupo Mixto (CC): Doña Ángela Cruz Perera.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Votos en contra: 0. </w:t>
      </w:r>
    </w:p>
    <w:p w:rsidR="00FA7413" w:rsidRDefault="00D712A8">
      <w:pPr>
        <w:spacing w:after="0"/>
        <w:ind w:left="360"/>
      </w:pPr>
      <w:r>
        <w:rPr>
          <w:noProof/>
        </w:rPr>
        <mc:AlternateContent>
          <mc:Choice Requires="wpg">
            <w:drawing>
              <wp:anchor distT="0" distB="0" distL="114300" distR="114300" simplePos="0" relativeHeight="251667456"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198272" name="Group 198272"/>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986" name="Rectangle 986"/>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w:t>
                              </w:r>
                              <w:r>
                                <w:rPr>
                                  <w:rFonts w:ascii="Arial" w:eastAsia="Arial" w:hAnsi="Arial" w:cs="Arial"/>
                                  <w:sz w:val="12"/>
                                </w:rPr>
                                <w:t xml:space="preserve">| Verificación: https://candelaria.sedelectronica.es/ </w:t>
                              </w:r>
                            </w:p>
                          </w:txbxContent>
                        </wps:txbx>
                        <wps:bodyPr horzOverflow="overflow" vert="horz" lIns="0" tIns="0" rIns="0" bIns="0" rtlCol="0">
                          <a:noAutofit/>
                        </wps:bodyPr>
                      </wps:wsp>
                      <wps:wsp>
                        <wps:cNvPr id="987" name="Rectangle 987"/>
                        <wps:cNvSpPr/>
                        <wps:spPr>
                          <a:xfrm rot="-5399999">
                            <a:off x="-2042224" y="1268293"/>
                            <a:ext cx="4350075"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8 de 180 </w:t>
                              </w:r>
                            </w:p>
                          </w:txbxContent>
                        </wps:txbx>
                        <wps:bodyPr horzOverflow="overflow" vert="horz" lIns="0" tIns="0" rIns="0" bIns="0" rtlCol="0">
                          <a:noAutofit/>
                        </wps:bodyPr>
                      </wps:wsp>
                    </wpg:wgp>
                  </a:graphicData>
                </a:graphic>
              </wp:anchor>
            </w:drawing>
          </mc:Choice>
          <mc:Fallback xmlns:a="http://schemas.openxmlformats.org/drawingml/2006/main">
            <w:pict>
              <v:group id="Group 198272" style="width:12.7031pt;height:275.586pt;position:absolute;mso-position-horizontal-relative:page;mso-position-horizontal:absolute;margin-left:682.278pt;mso-position-vertical-relative:page;margin-top:536.334pt;" coordsize="1613,34999">
                <v:rect id="Rectangle 986"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987" style="position:absolute;width:43500;height:1132;left:-20422;top:1268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 de 180 </w:t>
                        </w:r>
                      </w:p>
                    </w:txbxContent>
                  </v:textbox>
                </v:rect>
                <w10:wrap type="square"/>
              </v:group>
            </w:pict>
          </mc:Fallback>
        </mc:AlternateContent>
      </w: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Abstenciones: 1. </w:t>
      </w:r>
    </w:p>
    <w:p w:rsidR="00FA7413" w:rsidRDefault="00D712A8">
      <w:pPr>
        <w:spacing w:after="11" w:line="248" w:lineRule="auto"/>
        <w:ind w:left="355" w:right="64" w:hanging="10"/>
        <w:jc w:val="both"/>
      </w:pPr>
      <w:r>
        <w:rPr>
          <w:rFonts w:ascii="Arial" w:eastAsia="Arial" w:hAnsi="Arial" w:cs="Arial"/>
        </w:rPr>
        <w:t xml:space="preserve">1 de la concejal del Grupo Mixto (SSP): Doña Lourdes del Carmen Mondéjar Rondón.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355" w:right="62" w:hanging="10"/>
        <w:jc w:val="both"/>
      </w:pPr>
      <w:r>
        <w:rPr>
          <w:rFonts w:ascii="Arial" w:eastAsia="Arial" w:hAnsi="Arial" w:cs="Arial"/>
          <w:b/>
        </w:rPr>
        <w:t xml:space="preserve">JUNTA DE PORTAVOCES DE 21 DE JUNIO DE 2021.  </w:t>
      </w:r>
    </w:p>
    <w:p w:rsidR="00FA7413" w:rsidRDefault="00D712A8">
      <w:pPr>
        <w:spacing w:after="11" w:line="248" w:lineRule="auto"/>
        <w:ind w:left="355" w:right="64" w:hanging="10"/>
        <w:jc w:val="both"/>
      </w:pPr>
      <w:r>
        <w:rPr>
          <w:rFonts w:ascii="Arial" w:eastAsia="Arial" w:hAnsi="Arial" w:cs="Arial"/>
        </w:rPr>
        <w:t xml:space="preserve">Quedó oída.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355" w:right="62" w:hanging="10"/>
        <w:jc w:val="both"/>
      </w:pPr>
      <w:r>
        <w:rPr>
          <w:rFonts w:ascii="Arial" w:eastAsia="Arial" w:hAnsi="Arial" w:cs="Arial"/>
          <w:b/>
        </w:rPr>
        <w:t xml:space="preserve">VOTACIÓN EN EL PLENO DE 24 DE JUNIO DE 2021.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1078" w:right="64" w:hanging="10"/>
        <w:jc w:val="both"/>
      </w:pPr>
      <w:r>
        <w:rPr>
          <w:rFonts w:ascii="Arial" w:eastAsia="Arial" w:hAnsi="Arial" w:cs="Arial"/>
        </w:rPr>
        <w:t xml:space="preserve">Votos a favor: 16. </w:t>
      </w:r>
    </w:p>
    <w:p w:rsidR="00FA7413" w:rsidRDefault="00D712A8">
      <w:pPr>
        <w:spacing w:after="109" w:line="248" w:lineRule="auto"/>
        <w:ind w:left="345" w:right="64" w:firstLine="708"/>
        <w:jc w:val="both"/>
      </w:pPr>
      <w:r>
        <w:rPr>
          <w:rFonts w:ascii="Arial" w:eastAsia="Arial" w:hAnsi="Arial" w:cs="Arial"/>
        </w:rPr>
        <w:t>11 concejales del Grupo Socialista: Doña María Concepción Brito Núñez, Don Jorge Baute Delgado, Doña Olivia Concepción Pérez Díaz, Don José Francisco Pinto Ramos, Doña Hilaria Cecilia Otazo González, Don Airam Pérez Chinea, Doña Margarita Eva Tendero Barro</w:t>
      </w:r>
      <w:r>
        <w:rPr>
          <w:rFonts w:ascii="Arial" w:eastAsia="Arial" w:hAnsi="Arial" w:cs="Arial"/>
        </w:rPr>
        <w:t xml:space="preserve">so, Don Manuel Alberto González Pestano, Doña María del Carmen Clemente Díaz, Don Olegario Francisco Alonso Bello y Don Reinaldo José Triviño Blanco. </w:t>
      </w:r>
    </w:p>
    <w:p w:rsidR="00FA7413" w:rsidRDefault="00D712A8">
      <w:pPr>
        <w:spacing w:after="109" w:line="248" w:lineRule="auto"/>
        <w:ind w:left="345" w:right="64" w:firstLine="708"/>
        <w:jc w:val="both"/>
      </w:pPr>
      <w:r>
        <w:rPr>
          <w:rFonts w:ascii="Arial" w:eastAsia="Arial" w:hAnsi="Arial" w:cs="Arial"/>
        </w:rPr>
        <w:t>3 concejales del Grupo Popular: Don Andrés Rodríguez Delgado, Don Jacobo López Fariña y Doña Raquel Martí</w:t>
      </w:r>
      <w:r>
        <w:rPr>
          <w:rFonts w:ascii="Arial" w:eastAsia="Arial" w:hAnsi="Arial" w:cs="Arial"/>
        </w:rPr>
        <w:t xml:space="preserve">n Castro. </w:t>
      </w:r>
    </w:p>
    <w:p w:rsidR="00FA7413" w:rsidRDefault="00D712A8">
      <w:pPr>
        <w:spacing w:after="109" w:line="248" w:lineRule="auto"/>
        <w:ind w:left="1078" w:right="64" w:hanging="10"/>
        <w:jc w:val="both"/>
      </w:pPr>
      <w:r>
        <w:rPr>
          <w:rFonts w:ascii="Arial" w:eastAsia="Arial" w:hAnsi="Arial" w:cs="Arial"/>
        </w:rPr>
        <w:t xml:space="preserve">1 de la concejal del Grupo Mixto (CC): Doña Ángela Cruz Perera. </w:t>
      </w:r>
    </w:p>
    <w:p w:rsidR="00FA7413" w:rsidRDefault="00D712A8">
      <w:pPr>
        <w:numPr>
          <w:ilvl w:val="0"/>
          <w:numId w:val="2"/>
        </w:numPr>
        <w:spacing w:after="109" w:line="248" w:lineRule="auto"/>
        <w:ind w:right="64" w:firstLine="708"/>
        <w:jc w:val="both"/>
      </w:pPr>
      <w:r>
        <w:rPr>
          <w:rFonts w:ascii="Arial" w:eastAsia="Arial" w:hAnsi="Arial" w:cs="Arial"/>
        </w:rPr>
        <w:t xml:space="preserve">de la concejal del Grupo Mixto (VxC): Doña Alicia Mercedes Marrero Meneses. </w:t>
      </w:r>
    </w:p>
    <w:p w:rsidR="00FA7413" w:rsidRDefault="00D712A8">
      <w:pPr>
        <w:spacing w:after="109" w:line="248" w:lineRule="auto"/>
        <w:ind w:left="1078" w:right="64" w:hanging="10"/>
        <w:jc w:val="both"/>
      </w:pPr>
      <w:r>
        <w:rPr>
          <w:rFonts w:ascii="Arial" w:eastAsia="Arial" w:hAnsi="Arial" w:cs="Arial"/>
        </w:rPr>
        <w:t xml:space="preserve">Votos en contra: 0. </w:t>
      </w:r>
    </w:p>
    <w:p w:rsidR="00FA7413" w:rsidRDefault="00D712A8">
      <w:pPr>
        <w:spacing w:after="100"/>
        <w:ind w:left="1068"/>
      </w:pPr>
      <w:r>
        <w:rPr>
          <w:rFonts w:ascii="Arial" w:eastAsia="Arial" w:hAnsi="Arial" w:cs="Arial"/>
        </w:rPr>
        <w:t xml:space="preserve"> </w:t>
      </w:r>
    </w:p>
    <w:p w:rsidR="00FA7413" w:rsidRDefault="00D712A8">
      <w:pPr>
        <w:spacing w:after="109" w:line="248" w:lineRule="auto"/>
        <w:ind w:left="1078" w:right="64" w:hanging="10"/>
        <w:jc w:val="both"/>
      </w:pPr>
      <w:r>
        <w:rPr>
          <w:rFonts w:ascii="Arial" w:eastAsia="Arial" w:hAnsi="Arial" w:cs="Arial"/>
        </w:rPr>
        <w:t xml:space="preserve">Abstenciones: 2. </w:t>
      </w:r>
    </w:p>
    <w:p w:rsidR="00FA7413" w:rsidRDefault="00D712A8">
      <w:pPr>
        <w:numPr>
          <w:ilvl w:val="0"/>
          <w:numId w:val="2"/>
        </w:numPr>
        <w:spacing w:after="109" w:line="248" w:lineRule="auto"/>
        <w:ind w:right="64" w:firstLine="708"/>
        <w:jc w:val="both"/>
      </w:pPr>
      <w:r>
        <w:rPr>
          <w:rFonts w:ascii="Arial" w:eastAsia="Arial" w:hAnsi="Arial" w:cs="Arial"/>
        </w:rPr>
        <w:t xml:space="preserve">de los concejales del Grupo Mixto (SSP): Don Antonio Delgado García y Doña Lourdes del Carmen Mondéjar Rondón. </w:t>
      </w:r>
    </w:p>
    <w:p w:rsidR="00FA7413" w:rsidRDefault="00D712A8">
      <w:pPr>
        <w:spacing w:after="95"/>
        <w:ind w:left="1068"/>
      </w:pPr>
      <w:r>
        <w:rPr>
          <w:rFonts w:ascii="Arial" w:eastAsia="Arial" w:hAnsi="Arial" w:cs="Arial"/>
        </w:rPr>
        <w:t xml:space="preserve"> </w:t>
      </w:r>
    </w:p>
    <w:p w:rsidR="00FA7413" w:rsidRDefault="00D712A8">
      <w:pPr>
        <w:spacing w:after="11" w:line="248" w:lineRule="auto"/>
        <w:ind w:left="1789" w:right="62" w:hanging="10"/>
        <w:jc w:val="both"/>
      </w:pPr>
      <w:r>
        <w:rPr>
          <w:rFonts w:ascii="Arial" w:eastAsia="Arial" w:hAnsi="Arial" w:cs="Arial"/>
          <w:b/>
        </w:rPr>
        <w:t xml:space="preserve">ACUERDO DEL PLENO DE 24 DE JUNIO DE 2021. </w:t>
      </w:r>
    </w:p>
    <w:p w:rsidR="00FA7413" w:rsidRDefault="00D712A8">
      <w:pPr>
        <w:spacing w:after="95"/>
        <w:ind w:left="360"/>
      </w:pPr>
      <w:r>
        <w:rPr>
          <w:rFonts w:ascii="Arial" w:eastAsia="Arial" w:hAnsi="Arial" w:cs="Arial"/>
        </w:rPr>
        <w:t xml:space="preserve"> </w:t>
      </w:r>
    </w:p>
    <w:p w:rsidR="00FA7413" w:rsidRDefault="00D712A8">
      <w:pPr>
        <w:spacing w:after="112" w:line="248" w:lineRule="auto"/>
        <w:ind w:left="355" w:right="62" w:hanging="10"/>
        <w:jc w:val="both"/>
      </w:pPr>
      <w:r>
        <w:rPr>
          <w:rFonts w:ascii="Arial" w:eastAsia="Arial" w:hAnsi="Arial" w:cs="Arial"/>
          <w:b/>
        </w:rPr>
        <w:t>Aprobar la propuesta de la Alcaldesa-Presidenta de fecha 15 de junio de 2021 al Pleno sobre aprob</w:t>
      </w:r>
      <w:r>
        <w:rPr>
          <w:rFonts w:ascii="Arial" w:eastAsia="Arial" w:hAnsi="Arial" w:cs="Arial"/>
          <w:b/>
        </w:rPr>
        <w:t>ación de la obra musical compuesta por D. Agustín Ramos Ramos y D. Eduardo Manuel Ramos Ramos con el apoyo del Dr. D. Octavio Rodríguez Delgado, como himno oficial del municipio de la Villa de Candelaria que transcrita literalmente dice:</w:t>
      </w:r>
      <w:r>
        <w:rPr>
          <w:rFonts w:ascii="Arial" w:eastAsia="Arial" w:hAnsi="Arial" w:cs="Arial"/>
        </w:rPr>
        <w:t xml:space="preserve"> </w:t>
      </w:r>
    </w:p>
    <w:p w:rsidR="00FA7413" w:rsidRDefault="00D712A8">
      <w:pPr>
        <w:spacing w:after="136"/>
        <w:ind w:left="360"/>
      </w:pPr>
      <w:r>
        <w:rPr>
          <w:rFonts w:ascii="Arial" w:eastAsia="Arial" w:hAnsi="Arial" w:cs="Arial"/>
          <w:b/>
        </w:rPr>
        <w:t xml:space="preserve"> </w:t>
      </w:r>
    </w:p>
    <w:p w:rsidR="00FA7413" w:rsidRDefault="00D712A8">
      <w:pPr>
        <w:pStyle w:val="Ttulo1"/>
        <w:spacing w:after="0"/>
        <w:ind w:left="1013" w:right="717"/>
      </w:pPr>
      <w:r>
        <w:t>“HIMNO DE CANDE</w:t>
      </w:r>
      <w:r>
        <w:t xml:space="preserve">LARIA </w:t>
      </w:r>
    </w:p>
    <w:p w:rsidR="00FA7413" w:rsidRDefault="00D712A8">
      <w:pPr>
        <w:spacing w:after="0"/>
        <w:ind w:left="346"/>
        <w:jc w:val="center"/>
      </w:pPr>
      <w:r>
        <w:rPr>
          <w:rFonts w:ascii="Arial" w:eastAsia="Arial" w:hAnsi="Arial" w:cs="Arial"/>
          <w:b/>
        </w:rPr>
        <w:t xml:space="preserve"> </w:t>
      </w:r>
    </w:p>
    <w:p w:rsidR="00FA7413" w:rsidRDefault="00D712A8">
      <w:pPr>
        <w:spacing w:after="0"/>
        <w:ind w:left="346"/>
        <w:jc w:val="center"/>
      </w:pPr>
      <w:r>
        <w:rPr>
          <w:rFonts w:ascii="Arial" w:eastAsia="Arial" w:hAnsi="Arial" w:cs="Arial"/>
          <w:b/>
        </w:rPr>
        <w:t xml:space="preserve"> </w:t>
      </w:r>
    </w:p>
    <w:p w:rsidR="00FA7413" w:rsidRDefault="00D712A8">
      <w:pPr>
        <w:spacing w:after="0" w:line="248" w:lineRule="auto"/>
        <w:ind w:left="7379" w:right="62" w:firstLine="247"/>
        <w:jc w:val="both"/>
      </w:pPr>
      <w:r>
        <w:rPr>
          <w:rFonts w:ascii="Arial" w:eastAsia="Arial" w:hAnsi="Arial" w:cs="Arial"/>
          <w:b/>
        </w:rPr>
        <w:t xml:space="preserve">Letra: Manolo Ramos. Música: Agustín Ramos. </w:t>
      </w:r>
    </w:p>
    <w:p w:rsidR="00FA7413" w:rsidRDefault="00D712A8">
      <w:pPr>
        <w:spacing w:after="0"/>
        <w:ind w:left="360"/>
      </w:pPr>
      <w:r>
        <w:rPr>
          <w:rFonts w:ascii="Arial" w:eastAsia="Arial" w:hAnsi="Arial" w:cs="Arial"/>
        </w:rPr>
        <w:t xml:space="preserve"> </w:t>
      </w:r>
    </w:p>
    <w:p w:rsidR="00FA7413" w:rsidRDefault="00D712A8">
      <w:pPr>
        <w:spacing w:after="3" w:line="241" w:lineRule="auto"/>
        <w:ind w:left="355" w:right="6423" w:hanging="10"/>
      </w:pPr>
      <w:r>
        <w:rPr>
          <w:noProof/>
        </w:rPr>
        <mc:AlternateContent>
          <mc:Choice Requires="wpg">
            <w:drawing>
              <wp:anchor distT="0" distB="0" distL="114300" distR="114300" simplePos="0" relativeHeight="251668480"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198498" name="Group 198498"/>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116" name="Rectangle 1116"/>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117" name="Rectangle 1117"/>
                        <wps:cNvSpPr/>
                        <wps:spPr>
                          <a:xfrm rot="-5399999">
                            <a:off x="-2042224" y="1268293"/>
                            <a:ext cx="4350075"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9 de 180 </w:t>
                              </w:r>
                            </w:p>
                          </w:txbxContent>
                        </wps:txbx>
                        <wps:bodyPr horzOverflow="overflow" vert="horz" lIns="0" tIns="0" rIns="0" bIns="0" rtlCol="0">
                          <a:noAutofit/>
                        </wps:bodyPr>
                      </wps:wsp>
                    </wpg:wgp>
                  </a:graphicData>
                </a:graphic>
              </wp:anchor>
            </w:drawing>
          </mc:Choice>
          <mc:Fallback xmlns:a="http://schemas.openxmlformats.org/drawingml/2006/main">
            <w:pict>
              <v:group id="Group 198498" style="width:12.7031pt;height:275.586pt;position:absolute;mso-position-horizontal-relative:page;mso-position-horizontal:absolute;margin-left:682.278pt;mso-position-vertical-relative:page;margin-top:536.334pt;" coordsize="1613,34999">
                <v:rect id="Rectangle 1116"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117" style="position:absolute;width:43500;height:1132;left:-20422;top:1268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 de 180 </w:t>
                        </w:r>
                      </w:p>
                    </w:txbxContent>
                  </v:textbox>
                </v:rect>
                <w10:wrap type="square"/>
              </v:group>
            </w:pict>
          </mc:Fallback>
        </mc:AlternateContent>
      </w:r>
      <w:r>
        <w:rPr>
          <w:rFonts w:ascii="Arial" w:eastAsia="Arial" w:hAnsi="Arial" w:cs="Arial"/>
        </w:rPr>
        <w:t xml:space="preserve">Aparece en Chimisay una mujer extranjera, mudos los guanches la observan con su Niño y La Candela. En la cueva del Mencey la custodian con plegarias,  luego, Ella, desde Achbinico le da nombre a Candelaria.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           Estribillo </w:t>
      </w:r>
    </w:p>
    <w:p w:rsidR="00FA7413" w:rsidRDefault="00D712A8">
      <w:pPr>
        <w:spacing w:after="0"/>
        <w:ind w:left="360"/>
      </w:pPr>
      <w:r>
        <w:rPr>
          <w:rFonts w:ascii="Arial" w:eastAsia="Arial" w:hAnsi="Arial" w:cs="Arial"/>
        </w:rPr>
        <w:t xml:space="preserve"> </w:t>
      </w:r>
    </w:p>
    <w:p w:rsidR="00FA7413" w:rsidRDefault="00D712A8">
      <w:pPr>
        <w:spacing w:after="3" w:line="241" w:lineRule="auto"/>
        <w:ind w:left="355" w:right="6152" w:hanging="10"/>
      </w:pPr>
      <w:r>
        <w:rPr>
          <w:rFonts w:ascii="Arial" w:eastAsia="Arial" w:hAnsi="Arial" w:cs="Arial"/>
        </w:rPr>
        <w:t xml:space="preserve">Le canto a mi tierra </w:t>
      </w:r>
      <w:r>
        <w:rPr>
          <w:rFonts w:ascii="Arial" w:eastAsia="Arial" w:hAnsi="Arial" w:cs="Arial"/>
        </w:rPr>
        <w:t xml:space="preserve">guanche, corazón de las Canarias,  donde habita la Patrona             BIS La Virgen de Candelaria. </w:t>
      </w:r>
    </w:p>
    <w:p w:rsidR="00FA7413" w:rsidRDefault="00D712A8">
      <w:pPr>
        <w:spacing w:after="0"/>
        <w:ind w:left="360"/>
      </w:pPr>
      <w:r>
        <w:rPr>
          <w:rFonts w:ascii="Arial" w:eastAsia="Arial" w:hAnsi="Arial" w:cs="Arial"/>
        </w:rPr>
        <w:t xml:space="preserve"> </w:t>
      </w:r>
    </w:p>
    <w:p w:rsidR="00FA7413" w:rsidRDefault="00D712A8">
      <w:pPr>
        <w:spacing w:after="3" w:line="241" w:lineRule="auto"/>
        <w:ind w:left="355" w:right="7002" w:hanging="10"/>
      </w:pPr>
      <w:r>
        <w:rPr>
          <w:rFonts w:ascii="Arial" w:eastAsia="Arial" w:hAnsi="Arial" w:cs="Arial"/>
        </w:rPr>
        <w:t xml:space="preserve">La mar besa con sus olas La Viuda y Las Caletillas  y a la Villa da calor, </w:t>
      </w:r>
    </w:p>
    <w:p w:rsidR="00FA7413" w:rsidRDefault="00D712A8">
      <w:pPr>
        <w:spacing w:after="3" w:line="241" w:lineRule="auto"/>
        <w:ind w:left="355" w:right="6347" w:hanging="10"/>
      </w:pPr>
      <w:r>
        <w:rPr>
          <w:rFonts w:ascii="Arial" w:eastAsia="Arial" w:hAnsi="Arial" w:cs="Arial"/>
        </w:rPr>
        <w:t xml:space="preserve">La Candela que más brilla. Olor a pino en el monte, </w:t>
      </w:r>
      <w:r>
        <w:rPr>
          <w:rFonts w:ascii="Arial" w:eastAsia="Arial" w:hAnsi="Arial" w:cs="Arial"/>
        </w:rPr>
        <w:t xml:space="preserve">desde Barranco Hondo a Igueste, de Araya a Las Cuevecitas y al Malpaís, bello y agreste.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          Orquesta </w:t>
      </w:r>
    </w:p>
    <w:p w:rsidR="00FA7413" w:rsidRDefault="00D712A8">
      <w:pPr>
        <w:spacing w:after="0"/>
        <w:ind w:left="360"/>
      </w:pPr>
      <w:r>
        <w:rPr>
          <w:rFonts w:ascii="Arial" w:eastAsia="Arial" w:hAnsi="Arial" w:cs="Arial"/>
        </w:rPr>
        <w:t xml:space="preserve"> </w:t>
      </w:r>
    </w:p>
    <w:p w:rsidR="00FA7413" w:rsidRDefault="00D712A8">
      <w:pPr>
        <w:spacing w:after="3" w:line="241" w:lineRule="auto"/>
        <w:ind w:left="355" w:right="7047" w:hanging="10"/>
      </w:pPr>
      <w:r>
        <w:rPr>
          <w:rFonts w:ascii="Arial" w:eastAsia="Arial" w:hAnsi="Arial" w:cs="Arial"/>
        </w:rPr>
        <w:t xml:space="preserve">El alma del pescador pulula por la bahía, lo espera la pescadora cuando va a rayar el día. La alfarera con sus manos desde temprano se afana, </w:t>
      </w:r>
      <w:r>
        <w:rPr>
          <w:rFonts w:ascii="Arial" w:eastAsia="Arial" w:hAnsi="Arial" w:cs="Arial"/>
        </w:rPr>
        <w:t xml:space="preserve">a darle forma a la arcilla al amparo de Santa Ana.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Estribillo tres veces y coda:  </w:t>
      </w:r>
    </w:p>
    <w:p w:rsidR="00FA7413" w:rsidRDefault="00D712A8">
      <w:pPr>
        <w:spacing w:after="19"/>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Quiero que mi voz se apague en Candelaria.”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2" w:hanging="10"/>
        <w:jc w:val="both"/>
      </w:pPr>
      <w:r>
        <w:rPr>
          <w:rFonts w:ascii="Arial" w:eastAsia="Arial" w:hAnsi="Arial" w:cs="Arial"/>
          <w:b/>
        </w:rPr>
        <w:t xml:space="preserve">Consta en el expediente himno corregido de fecha 21 de junio de 2021 firmado por Don José Francisco Pinto Ramos.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2" w:hanging="10"/>
        <w:jc w:val="both"/>
      </w:pPr>
      <w:r>
        <w:rPr>
          <w:rFonts w:ascii="Arial" w:eastAsia="Arial" w:hAnsi="Arial" w:cs="Arial"/>
          <w:b/>
        </w:rPr>
        <w:t>DIC</w:t>
      </w:r>
      <w:r>
        <w:rPr>
          <w:rFonts w:ascii="Arial" w:eastAsia="Arial" w:hAnsi="Arial" w:cs="Arial"/>
          <w:b/>
        </w:rPr>
        <w:t xml:space="preserve">TAMEN FAVORABLE DE LA COMISIÓN INFORMATIVA DE HACIENDA, RECURSOS HUMANOS Y SERVICIOS GENERALES DE 21 DE JUNIO DE 2021.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Votos a favor:6.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4" w:hanging="10"/>
        <w:jc w:val="both"/>
      </w:pPr>
      <w:r>
        <w:rPr>
          <w:noProof/>
        </w:rPr>
        <mc:AlternateContent>
          <mc:Choice Requires="wpg">
            <w:drawing>
              <wp:anchor distT="0" distB="0" distL="114300" distR="114300" simplePos="0" relativeHeight="251669504"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199004" name="Group 199004"/>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236" name="Rectangle 1236"/>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237" name="Rectangle 1237"/>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10 de 180 </w:t>
                              </w:r>
                            </w:p>
                          </w:txbxContent>
                        </wps:txbx>
                        <wps:bodyPr horzOverflow="overflow" vert="horz" lIns="0" tIns="0" rIns="0" bIns="0" rtlCol="0">
                          <a:noAutofit/>
                        </wps:bodyPr>
                      </wps:wsp>
                    </wpg:wgp>
                  </a:graphicData>
                </a:graphic>
              </wp:anchor>
            </w:drawing>
          </mc:Choice>
          <mc:Fallback xmlns:a="http://schemas.openxmlformats.org/drawingml/2006/main">
            <w:pict>
              <v:group id="Group 199004" style="width:12.7031pt;height:275.586pt;position:absolute;mso-position-horizontal-relative:page;mso-position-horizontal:absolute;margin-left:682.278pt;mso-position-vertical-relative:page;margin-top:536.334pt;" coordsize="1613,34999">
                <v:rect id="Rectangle 1236"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237"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 de 180 </w:t>
                        </w:r>
                      </w:p>
                    </w:txbxContent>
                  </v:textbox>
                </v:rect>
                <w10:wrap type="square"/>
              </v:group>
            </w:pict>
          </mc:Fallback>
        </mc:AlternateContent>
      </w:r>
      <w:r>
        <w:rPr>
          <w:rFonts w:ascii="Arial" w:eastAsia="Arial" w:hAnsi="Arial" w:cs="Arial"/>
        </w:rPr>
        <w:t>4 concejales del Grupo Socialista: Don Airam Pérez Chinea, Don José Francisco Pinto Ramos, Doña Hilaria Cecilia Otazo González, Doña Margarita Eva Tendero Barroso</w:t>
      </w:r>
      <w:r>
        <w:rPr>
          <w:rFonts w:ascii="Arial" w:eastAsia="Arial" w:hAnsi="Arial" w:cs="Arial"/>
        </w:rPr>
        <w:t xml:space="preserve">. 1 de la concejal del Grupo Popular, Doña Raquel Martín Castro 1 de la concejal del Grupo Mixto (CC): Doña Ángela Cruz Perera.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Votos en contra:0.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Abstenciones: 1.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1 de la concejal del Grupo Mixto (SSP): Doña Lourdes del Carmen Mondéjar Rondón. </w:t>
      </w:r>
    </w:p>
    <w:p w:rsidR="00FA7413" w:rsidRDefault="00D712A8">
      <w:pPr>
        <w:spacing w:after="0"/>
        <w:ind w:left="360"/>
      </w:pPr>
      <w:r>
        <w:rPr>
          <w:rFonts w:ascii="Arial" w:eastAsia="Arial" w:hAnsi="Arial" w:cs="Arial"/>
          <w:i/>
          <w:color w:val="222222"/>
        </w:rPr>
        <w:t xml:space="preserve"> </w:t>
      </w:r>
    </w:p>
    <w:p w:rsidR="00FA7413" w:rsidRDefault="00D712A8">
      <w:pPr>
        <w:spacing w:after="11" w:line="248" w:lineRule="auto"/>
        <w:ind w:left="355" w:right="62" w:hanging="10"/>
        <w:jc w:val="both"/>
      </w:pPr>
      <w:r>
        <w:rPr>
          <w:rFonts w:ascii="Arial" w:eastAsia="Arial" w:hAnsi="Arial" w:cs="Arial"/>
          <w:b/>
        </w:rPr>
        <w:t>JUNTA DE PORTAVOCES DE 21 DE JUNIO DE 2021.</w:t>
      </w:r>
      <w:r>
        <w:rPr>
          <w:rFonts w:ascii="Arial" w:eastAsia="Arial" w:hAnsi="Arial" w:cs="Arial"/>
          <w:sz w:val="24"/>
        </w:rPr>
        <w:t xml:space="preserve"> </w:t>
      </w:r>
    </w:p>
    <w:p w:rsidR="00FA7413" w:rsidRDefault="00D712A8">
      <w:pPr>
        <w:spacing w:after="11" w:line="248" w:lineRule="auto"/>
        <w:ind w:left="355" w:right="64" w:hanging="10"/>
        <w:jc w:val="both"/>
      </w:pPr>
      <w:r>
        <w:rPr>
          <w:rFonts w:ascii="Arial" w:eastAsia="Arial" w:hAnsi="Arial" w:cs="Arial"/>
        </w:rPr>
        <w:t xml:space="preserve">Quedó oída.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2" w:hanging="10"/>
        <w:jc w:val="both"/>
      </w:pPr>
      <w:r>
        <w:rPr>
          <w:rFonts w:ascii="Arial" w:eastAsia="Arial" w:hAnsi="Arial" w:cs="Arial"/>
          <w:b/>
        </w:rPr>
        <w:t xml:space="preserve">VOTACIÓN EN EL PLENO DE 24 DE JUNIO DE 2021.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Votos a favor: 16.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11 concejales del Grupo Socialista: Doña María Concepción Brito Núñez, Don Jorge Baute Delgado, </w:t>
      </w:r>
    </w:p>
    <w:p w:rsidR="00FA7413" w:rsidRDefault="00D712A8">
      <w:pPr>
        <w:spacing w:after="0" w:line="248" w:lineRule="auto"/>
        <w:ind w:left="355" w:right="64" w:hanging="10"/>
        <w:jc w:val="both"/>
      </w:pPr>
      <w:r>
        <w:rPr>
          <w:rFonts w:ascii="Arial" w:eastAsia="Arial" w:hAnsi="Arial" w:cs="Arial"/>
        </w:rPr>
        <w:t>Doña Olivia Concepción Pérez Díaz, Don José Francisco Pinto Ramos, Doña Hilaria Cecilia Otazo González, Don Airam Pérez Chinea, Doña Margarita Eva Tendero Barroso, Don Manuel Alberto González Pestano, Doña María del Carmen Clemente Díaz, Don Olegario Franc</w:t>
      </w:r>
      <w:r>
        <w:rPr>
          <w:rFonts w:ascii="Arial" w:eastAsia="Arial" w:hAnsi="Arial" w:cs="Arial"/>
        </w:rPr>
        <w:t xml:space="preserve">isco Alonso Bello y Don Reinaldo José Triviño Blanco.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 xml:space="preserve">3 concejales del Grupo Popular: Don Andrés Rodríguez Delgado, Don Jacobo López Fariña y Doña Raquel Martín Castro. </w:t>
      </w:r>
    </w:p>
    <w:p w:rsidR="00FA7413" w:rsidRDefault="00D712A8">
      <w:pPr>
        <w:spacing w:after="11" w:line="248" w:lineRule="auto"/>
        <w:ind w:left="355" w:right="64" w:hanging="10"/>
        <w:jc w:val="both"/>
      </w:pPr>
      <w:r>
        <w:rPr>
          <w:rFonts w:ascii="Arial" w:eastAsia="Arial" w:hAnsi="Arial" w:cs="Arial"/>
        </w:rPr>
        <w:t xml:space="preserve">1 de la concejal del Grupo Mixto (CC): Doña Ángela Cruz Perera. </w:t>
      </w:r>
    </w:p>
    <w:p w:rsidR="00FA7413" w:rsidRDefault="00D712A8">
      <w:pPr>
        <w:spacing w:after="0"/>
        <w:ind w:left="360"/>
      </w:pPr>
      <w:r>
        <w:rPr>
          <w:rFonts w:ascii="Arial" w:eastAsia="Arial" w:hAnsi="Arial" w:cs="Arial"/>
        </w:rPr>
        <w:t xml:space="preserve"> </w:t>
      </w:r>
    </w:p>
    <w:p w:rsidR="00FA7413" w:rsidRDefault="00D712A8">
      <w:pPr>
        <w:numPr>
          <w:ilvl w:val="0"/>
          <w:numId w:val="3"/>
        </w:numPr>
        <w:spacing w:after="11" w:line="248" w:lineRule="auto"/>
        <w:ind w:left="529" w:right="64" w:hanging="184"/>
        <w:jc w:val="both"/>
      </w:pPr>
      <w:r>
        <w:rPr>
          <w:rFonts w:ascii="Arial" w:eastAsia="Arial" w:hAnsi="Arial" w:cs="Arial"/>
        </w:rPr>
        <w:t xml:space="preserve">de </w:t>
      </w:r>
      <w:r>
        <w:rPr>
          <w:rFonts w:ascii="Arial" w:eastAsia="Arial" w:hAnsi="Arial" w:cs="Arial"/>
        </w:rPr>
        <w:t xml:space="preserve">la concejal del Grupo Mixto (VxC): Doña Alicia Mercedes Marrero Meneses.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Votos en contra: 0.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Abstenciones: 2 </w:t>
      </w:r>
    </w:p>
    <w:p w:rsidR="00FA7413" w:rsidRDefault="00D712A8">
      <w:pPr>
        <w:spacing w:after="0"/>
        <w:ind w:left="360"/>
      </w:pPr>
      <w:r>
        <w:rPr>
          <w:rFonts w:ascii="Arial" w:eastAsia="Arial" w:hAnsi="Arial" w:cs="Arial"/>
        </w:rPr>
        <w:t xml:space="preserve"> </w:t>
      </w:r>
    </w:p>
    <w:p w:rsidR="00FA7413" w:rsidRDefault="00D712A8">
      <w:pPr>
        <w:numPr>
          <w:ilvl w:val="0"/>
          <w:numId w:val="3"/>
        </w:numPr>
        <w:spacing w:after="0" w:line="248" w:lineRule="auto"/>
        <w:ind w:left="529" w:right="64" w:hanging="184"/>
        <w:jc w:val="both"/>
      </w:pPr>
      <w:r>
        <w:rPr>
          <w:rFonts w:ascii="Arial" w:eastAsia="Arial" w:hAnsi="Arial" w:cs="Arial"/>
        </w:rPr>
        <w:t xml:space="preserve">de los concejales del Grupo Mixto (SSP): Don Antonio Delgado García y Doña Lourdes del Carmen Mondéjar Rondón.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1013" w:right="720" w:hanging="10"/>
        <w:jc w:val="center"/>
      </w:pPr>
      <w:r>
        <w:rPr>
          <w:rFonts w:ascii="Arial" w:eastAsia="Arial" w:hAnsi="Arial" w:cs="Arial"/>
          <w:b/>
        </w:rPr>
        <w:t xml:space="preserve">ACUERDO DEL PLENO DE 24 DE JUNIO DE 2021. </w:t>
      </w:r>
    </w:p>
    <w:p w:rsidR="00FA7413" w:rsidRDefault="00D712A8">
      <w:pPr>
        <w:spacing w:after="23"/>
        <w:ind w:left="360"/>
      </w:pPr>
      <w:r>
        <w:rPr>
          <w:rFonts w:ascii="Arial" w:eastAsia="Arial" w:hAnsi="Arial" w:cs="Arial"/>
        </w:rPr>
        <w:t xml:space="preserve"> </w:t>
      </w:r>
    </w:p>
    <w:p w:rsidR="00FA7413" w:rsidRDefault="00D712A8">
      <w:pPr>
        <w:spacing w:after="187" w:line="248" w:lineRule="auto"/>
        <w:ind w:left="355" w:right="62" w:hanging="10"/>
        <w:jc w:val="both"/>
      </w:pPr>
      <w:r>
        <w:rPr>
          <w:rFonts w:ascii="Arial" w:eastAsia="Arial" w:hAnsi="Arial" w:cs="Arial"/>
          <w:b/>
        </w:rPr>
        <w:t>Aprobar la propuesta de la Alcaldesa-Presidenta de fecha 15 de junio de 2021 al Pleno sobre aprobación de la obra musical compuesta por D. Agustín Ramos Ramos y D. Eduardo Manuel Ramos Ramos con el apoyo del Dr.</w:t>
      </w:r>
      <w:r>
        <w:rPr>
          <w:rFonts w:ascii="Arial" w:eastAsia="Arial" w:hAnsi="Arial" w:cs="Arial"/>
          <w:b/>
        </w:rPr>
        <w:t xml:space="preserve"> D. Octavio Rodríguez Delgado, como himno oficial del municipio de la Villa de Candelaria que transcrita literalmente dice:</w:t>
      </w:r>
      <w:r>
        <w:rPr>
          <w:rFonts w:ascii="Arial" w:eastAsia="Arial" w:hAnsi="Arial" w:cs="Arial"/>
        </w:rPr>
        <w:t xml:space="preserve"> </w:t>
      </w:r>
    </w:p>
    <w:p w:rsidR="00FA7413" w:rsidRDefault="00D712A8">
      <w:pPr>
        <w:spacing w:after="182"/>
        <w:ind w:left="360"/>
      </w:pPr>
      <w:r>
        <w:rPr>
          <w:rFonts w:ascii="Arial" w:eastAsia="Arial" w:hAnsi="Arial" w:cs="Arial"/>
          <w:i/>
          <w:color w:val="222222"/>
        </w:rPr>
        <w:t xml:space="preserve"> </w:t>
      </w:r>
    </w:p>
    <w:p w:rsidR="00FA7413" w:rsidRDefault="00D712A8">
      <w:pPr>
        <w:pStyle w:val="Ttulo1"/>
        <w:spacing w:after="0"/>
        <w:ind w:left="1013" w:right="717"/>
      </w:pPr>
      <w:r>
        <w:t>“HIMNO DE CANDELARIA</w:t>
      </w:r>
      <w:r>
        <w:rPr>
          <w:b w:val="0"/>
          <w:sz w:val="24"/>
        </w:rPr>
        <w:t xml:space="preserve"> </w:t>
      </w:r>
    </w:p>
    <w:p w:rsidR="00FA7413" w:rsidRDefault="00D712A8">
      <w:pPr>
        <w:spacing w:after="0"/>
        <w:ind w:left="10" w:right="60" w:hanging="10"/>
        <w:jc w:val="right"/>
      </w:pPr>
      <w:r>
        <w:rPr>
          <w:rFonts w:ascii="Arial" w:eastAsia="Arial" w:hAnsi="Arial" w:cs="Arial"/>
          <w:b/>
        </w:rPr>
        <w:t>Letra: Manolo Ramos.</w:t>
      </w:r>
      <w:r>
        <w:rPr>
          <w:rFonts w:ascii="Arial" w:eastAsia="Arial" w:hAnsi="Arial" w:cs="Arial"/>
          <w:sz w:val="24"/>
        </w:rPr>
        <w:t xml:space="preserve"> </w:t>
      </w:r>
    </w:p>
    <w:p w:rsidR="00FA7413" w:rsidRDefault="00D712A8">
      <w:pPr>
        <w:spacing w:after="0"/>
        <w:ind w:left="10" w:right="60" w:hanging="10"/>
        <w:jc w:val="right"/>
      </w:pPr>
      <w:r>
        <w:rPr>
          <w:noProof/>
        </w:rPr>
        <mc:AlternateContent>
          <mc:Choice Requires="wpg">
            <w:drawing>
              <wp:anchor distT="0" distB="0" distL="114300" distR="114300" simplePos="0" relativeHeight="251670528"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00011" name="Group 200011"/>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360" name="Rectangle 1360"/>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Cód. Validación: 946JAL4TJAGYNDDM76ZM7ZAYZ | Verificación: https://candelaria.sede</w:t>
                              </w:r>
                              <w:r>
                                <w:rPr>
                                  <w:rFonts w:ascii="Arial" w:eastAsia="Arial" w:hAnsi="Arial" w:cs="Arial"/>
                                  <w:sz w:val="12"/>
                                </w:rPr>
                                <w:t xml:space="preserve">lectronica.es/ </w:t>
                              </w:r>
                            </w:p>
                          </w:txbxContent>
                        </wps:txbx>
                        <wps:bodyPr horzOverflow="overflow" vert="horz" lIns="0" tIns="0" rIns="0" bIns="0" rtlCol="0">
                          <a:noAutofit/>
                        </wps:bodyPr>
                      </wps:wsp>
                      <wps:wsp>
                        <wps:cNvPr id="1361" name="Rectangle 1361"/>
                        <wps:cNvSpPr/>
                        <wps:spPr>
                          <a:xfrm rot="-5399999">
                            <a:off x="-2066649" y="1243868"/>
                            <a:ext cx="4398923"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11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0011" style="width:12.7031pt;height:275.586pt;position:absolute;mso-position-horizontal-relative:page;mso-position-horizontal:absolute;margin-left:682.278pt;mso-position-vertical-relative:page;margin-top:536.334pt;" coordsize="1613,34999">
                <v:rect id="Rectangle 1360"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361" style="position:absolute;width:43989;height:1132;left:-20666;top:12438;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 de 180 </w:t>
                        </w:r>
                      </w:p>
                    </w:txbxContent>
                  </v:textbox>
                </v:rect>
                <w10:wrap type="square"/>
              </v:group>
            </w:pict>
          </mc:Fallback>
        </mc:AlternateContent>
      </w:r>
      <w:r>
        <w:rPr>
          <w:rFonts w:ascii="Arial" w:eastAsia="Arial" w:hAnsi="Arial" w:cs="Arial"/>
          <w:b/>
        </w:rPr>
        <w:t xml:space="preserve">Música: Agustín Ramos. </w:t>
      </w:r>
    </w:p>
    <w:p w:rsidR="00FA7413" w:rsidRDefault="00D712A8">
      <w:pPr>
        <w:spacing w:after="0"/>
        <w:ind w:right="12"/>
        <w:jc w:val="right"/>
      </w:pPr>
      <w:r>
        <w:rPr>
          <w:rFonts w:ascii="Arial" w:eastAsia="Arial" w:hAnsi="Arial" w:cs="Arial"/>
        </w:rPr>
        <w:t xml:space="preserve"> </w:t>
      </w:r>
    </w:p>
    <w:p w:rsidR="00FA7413" w:rsidRDefault="00D712A8">
      <w:pPr>
        <w:spacing w:after="193" w:line="241" w:lineRule="auto"/>
        <w:ind w:left="355" w:right="6423" w:hanging="10"/>
      </w:pPr>
      <w:r>
        <w:rPr>
          <w:rFonts w:ascii="Arial" w:eastAsia="Arial" w:hAnsi="Arial" w:cs="Arial"/>
        </w:rPr>
        <w:t xml:space="preserve">Aparece en Chimisay una mujer extranjera, mudos los guanches la observan con su Niño y La Candela. </w:t>
      </w:r>
      <w:r>
        <w:rPr>
          <w:rFonts w:ascii="Arial" w:eastAsia="Arial" w:hAnsi="Arial" w:cs="Arial"/>
        </w:rPr>
        <w:t xml:space="preserve">En la cueva del Mencey la custodian con plegarias,  luego, Ella, desde Achbinico le da nombre a Candelaria. </w:t>
      </w:r>
    </w:p>
    <w:p w:rsidR="00FA7413" w:rsidRDefault="00D712A8">
      <w:pPr>
        <w:spacing w:after="131"/>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            Estribillo </w:t>
      </w:r>
    </w:p>
    <w:p w:rsidR="00FA7413" w:rsidRDefault="00D712A8">
      <w:pPr>
        <w:spacing w:after="0"/>
        <w:ind w:left="360"/>
      </w:pPr>
      <w:r>
        <w:rPr>
          <w:rFonts w:ascii="Arial" w:eastAsia="Arial" w:hAnsi="Arial" w:cs="Arial"/>
        </w:rPr>
        <w:t xml:space="preserve"> </w:t>
      </w:r>
    </w:p>
    <w:p w:rsidR="00FA7413" w:rsidRDefault="00D712A8">
      <w:pPr>
        <w:spacing w:after="3" w:line="241" w:lineRule="auto"/>
        <w:ind w:left="355" w:right="6152" w:hanging="10"/>
      </w:pPr>
      <w:r>
        <w:rPr>
          <w:rFonts w:ascii="Arial" w:eastAsia="Arial" w:hAnsi="Arial" w:cs="Arial"/>
        </w:rPr>
        <w:t>Le canto a mi tierra guanche, corazón de las Canarias,  donde habita la Patrona             BIS La Virgen de Candelaria</w:t>
      </w: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3" w:line="241" w:lineRule="auto"/>
        <w:ind w:left="355" w:right="6997" w:hanging="10"/>
      </w:pPr>
      <w:r>
        <w:rPr>
          <w:rFonts w:ascii="Arial" w:eastAsia="Arial" w:hAnsi="Arial" w:cs="Arial"/>
        </w:rPr>
        <w:t xml:space="preserve">La mar besa con sus olas La Viuda y Las Caletillas  y a la Villa da calor, </w:t>
      </w:r>
    </w:p>
    <w:p w:rsidR="00FA7413" w:rsidRDefault="00D712A8">
      <w:pPr>
        <w:spacing w:after="11" w:line="248" w:lineRule="auto"/>
        <w:ind w:left="355" w:right="64" w:hanging="10"/>
        <w:jc w:val="both"/>
      </w:pPr>
      <w:r>
        <w:rPr>
          <w:rFonts w:ascii="Arial" w:eastAsia="Arial" w:hAnsi="Arial" w:cs="Arial"/>
        </w:rPr>
        <w:t xml:space="preserve">La Candela que más brilla. </w:t>
      </w:r>
    </w:p>
    <w:p w:rsidR="00FA7413" w:rsidRDefault="00D712A8">
      <w:pPr>
        <w:spacing w:after="109" w:line="248" w:lineRule="auto"/>
        <w:ind w:left="355" w:right="64" w:hanging="10"/>
        <w:jc w:val="both"/>
      </w:pPr>
      <w:r>
        <w:rPr>
          <w:rFonts w:ascii="Arial" w:eastAsia="Arial" w:hAnsi="Arial" w:cs="Arial"/>
        </w:rPr>
        <w:t xml:space="preserve">Olor a pino en el monte, </w:t>
      </w:r>
    </w:p>
    <w:p w:rsidR="00FA7413" w:rsidRDefault="00D712A8">
      <w:pPr>
        <w:spacing w:after="3" w:line="241" w:lineRule="auto"/>
        <w:ind w:left="355" w:right="6347" w:hanging="10"/>
      </w:pPr>
      <w:r>
        <w:rPr>
          <w:rFonts w:ascii="Arial" w:eastAsia="Arial" w:hAnsi="Arial" w:cs="Arial"/>
        </w:rPr>
        <w:t xml:space="preserve">desde Barranco Hondo a Igueste, de Araya a Las Cuevecitas y al Malpaís, bello y agreste.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            Orquesta </w:t>
      </w:r>
    </w:p>
    <w:p w:rsidR="00FA7413" w:rsidRDefault="00D712A8">
      <w:pPr>
        <w:spacing w:after="0"/>
        <w:ind w:left="360"/>
      </w:pPr>
      <w:r>
        <w:rPr>
          <w:rFonts w:ascii="Arial" w:eastAsia="Arial" w:hAnsi="Arial" w:cs="Arial"/>
        </w:rPr>
        <w:t xml:space="preserve"> </w:t>
      </w:r>
    </w:p>
    <w:p w:rsidR="00FA7413" w:rsidRDefault="00D712A8">
      <w:pPr>
        <w:spacing w:after="3" w:line="241" w:lineRule="auto"/>
        <w:ind w:left="355" w:right="7047" w:hanging="10"/>
      </w:pPr>
      <w:r>
        <w:rPr>
          <w:rFonts w:ascii="Arial" w:eastAsia="Arial" w:hAnsi="Arial" w:cs="Arial"/>
        </w:rPr>
        <w:t xml:space="preserve">El almadel pescador pulula por la bahía, lo espera la pescadora cuando va a rayar el día. La alfarera con sus manos desde temprano se afana, a darle forma a la arcilla al amparo de Santa Ana.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Estribillo tres veces y coda: </w:t>
      </w:r>
    </w:p>
    <w:p w:rsidR="00FA7413" w:rsidRDefault="00D712A8">
      <w:pPr>
        <w:spacing w:after="62"/>
        <w:ind w:left="360"/>
      </w:pPr>
      <w:r>
        <w:rPr>
          <w:rFonts w:ascii="Arial" w:eastAsia="Arial" w:hAnsi="Arial" w:cs="Arial"/>
        </w:rPr>
        <w:t xml:space="preserve">  </w:t>
      </w:r>
    </w:p>
    <w:p w:rsidR="00FA7413" w:rsidRDefault="00D712A8">
      <w:pPr>
        <w:spacing w:after="188" w:line="248" w:lineRule="auto"/>
        <w:ind w:left="355" w:right="64" w:hanging="10"/>
        <w:jc w:val="both"/>
      </w:pPr>
      <w:r>
        <w:rPr>
          <w:rFonts w:ascii="Arial" w:eastAsia="Arial" w:hAnsi="Arial" w:cs="Arial"/>
        </w:rPr>
        <w:t>Quiero que mi voz se apague</w:t>
      </w:r>
      <w:r>
        <w:rPr>
          <w:rFonts w:ascii="Arial" w:eastAsia="Arial" w:hAnsi="Arial" w:cs="Arial"/>
        </w:rPr>
        <w:t xml:space="preserve"> en Candelaria.” </w:t>
      </w:r>
    </w:p>
    <w:p w:rsidR="00FA7413" w:rsidRDefault="00D712A8">
      <w:pPr>
        <w:spacing w:after="0" w:line="425" w:lineRule="auto"/>
        <w:ind w:left="360" w:right="9577"/>
      </w:pPr>
      <w:r>
        <w:rPr>
          <w:noProof/>
        </w:rPr>
        <mc:AlternateContent>
          <mc:Choice Requires="wpg">
            <w:drawing>
              <wp:anchor distT="0" distB="0" distL="114300" distR="114300" simplePos="0" relativeHeight="251671552" behindDoc="0" locked="0" layoutInCell="1" allowOverlap="1">
                <wp:simplePos x="0" y="0"/>
                <wp:positionH relativeFrom="page">
                  <wp:posOffset>8664935</wp:posOffset>
                </wp:positionH>
                <wp:positionV relativeFrom="page">
                  <wp:posOffset>6811442</wp:posOffset>
                </wp:positionV>
                <wp:extent cx="161330" cy="3499942"/>
                <wp:effectExtent l="0" t="0" r="0" b="0"/>
                <wp:wrapTopAndBottom/>
                <wp:docPr id="199233" name="Group 199233"/>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443" name="Rectangle 1443"/>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444" name="Rectangle 1444"/>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12 de 180 </w:t>
                              </w:r>
                            </w:p>
                          </w:txbxContent>
                        </wps:txbx>
                        <wps:bodyPr horzOverflow="overflow" vert="horz" lIns="0" tIns="0" rIns="0" bIns="0" rtlCol="0">
                          <a:noAutofit/>
                        </wps:bodyPr>
                      </wps:wsp>
                    </wpg:wgp>
                  </a:graphicData>
                </a:graphic>
              </wp:anchor>
            </w:drawing>
          </mc:Choice>
          <mc:Fallback xmlns:a="http://schemas.openxmlformats.org/drawingml/2006/main">
            <w:pict>
              <v:group id="Group 199233" style="width:12.7031pt;height:275.586pt;position:absolute;mso-position-horizontal-relative:page;mso-position-horizontal:absolute;margin-left:682.278pt;mso-position-vertical-relative:page;margin-top:536.334pt;" coordsize="1613,34999">
                <v:rect id="Rectangle 1443"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444"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 de 180 </w:t>
                        </w:r>
                      </w:p>
                    </w:txbxContent>
                  </v:textbox>
                </v:rect>
                <w10:wrap type="topAndBottom"/>
              </v:group>
            </w:pict>
          </mc:Fallback>
        </mc:AlternateContent>
      </w:r>
      <w:r>
        <w:rPr>
          <w:rFonts w:ascii="Arial" w:eastAsia="Arial" w:hAnsi="Arial" w:cs="Arial"/>
          <w:i/>
          <w:color w:val="222222"/>
        </w:rPr>
        <w:t xml:space="preserve">       </w:t>
      </w:r>
    </w:p>
    <w:p w:rsidR="00FA7413" w:rsidRDefault="00D712A8">
      <w:pPr>
        <w:spacing w:after="178"/>
        <w:ind w:left="360"/>
      </w:pPr>
      <w:r>
        <w:rPr>
          <w:rFonts w:ascii="Arial" w:eastAsia="Arial" w:hAnsi="Arial" w:cs="Arial"/>
          <w:i/>
          <w:color w:val="222222"/>
        </w:rPr>
        <w:t xml:space="preserve"> </w:t>
      </w:r>
    </w:p>
    <w:p w:rsidR="00FA7413" w:rsidRDefault="00D712A8">
      <w:pPr>
        <w:spacing w:after="175"/>
        <w:ind w:left="360"/>
      </w:pPr>
      <w:r>
        <w:rPr>
          <w:rFonts w:ascii="Arial" w:eastAsia="Arial" w:hAnsi="Arial" w:cs="Arial"/>
          <w:i/>
          <w:color w:val="222222"/>
        </w:rPr>
        <w:t xml:space="preserve"> </w:t>
      </w:r>
    </w:p>
    <w:p w:rsidR="00FA7413" w:rsidRDefault="00D712A8">
      <w:pPr>
        <w:spacing w:after="177"/>
        <w:ind w:left="360"/>
      </w:pPr>
      <w:r>
        <w:rPr>
          <w:rFonts w:ascii="Arial" w:eastAsia="Arial" w:hAnsi="Arial" w:cs="Arial"/>
          <w:i/>
          <w:color w:val="222222"/>
        </w:rPr>
        <w:t xml:space="preserve"> </w:t>
      </w:r>
    </w:p>
    <w:p w:rsidR="00FA7413" w:rsidRDefault="00D712A8">
      <w:pPr>
        <w:spacing w:after="175"/>
        <w:ind w:left="360"/>
      </w:pPr>
      <w:r>
        <w:rPr>
          <w:rFonts w:ascii="Arial" w:eastAsia="Arial" w:hAnsi="Arial" w:cs="Arial"/>
          <w:i/>
          <w:color w:val="222222"/>
        </w:rPr>
        <w:t xml:space="preserve"> </w:t>
      </w:r>
    </w:p>
    <w:p w:rsidR="00FA7413" w:rsidRDefault="00D712A8">
      <w:pPr>
        <w:spacing w:after="177"/>
        <w:ind w:left="360"/>
      </w:pPr>
      <w:r>
        <w:rPr>
          <w:rFonts w:ascii="Arial" w:eastAsia="Arial" w:hAnsi="Arial" w:cs="Arial"/>
          <w:i/>
          <w:color w:val="222222"/>
        </w:rPr>
        <w:t xml:space="preserve"> </w:t>
      </w:r>
    </w:p>
    <w:p w:rsidR="00FA7413" w:rsidRDefault="00D712A8">
      <w:pPr>
        <w:spacing w:after="175"/>
        <w:ind w:left="360"/>
      </w:pPr>
      <w:r>
        <w:rPr>
          <w:rFonts w:ascii="Arial" w:eastAsia="Arial" w:hAnsi="Arial" w:cs="Arial"/>
          <w:i/>
          <w:color w:val="222222"/>
        </w:rPr>
        <w:t xml:space="preserve"> </w:t>
      </w:r>
    </w:p>
    <w:p w:rsidR="00FA7413" w:rsidRDefault="00D712A8">
      <w:pPr>
        <w:spacing w:after="177"/>
        <w:ind w:left="360"/>
      </w:pPr>
      <w:r>
        <w:rPr>
          <w:rFonts w:ascii="Arial" w:eastAsia="Arial" w:hAnsi="Arial" w:cs="Arial"/>
          <w:i/>
          <w:color w:val="222222"/>
        </w:rPr>
        <w:t xml:space="preserve"> </w:t>
      </w:r>
    </w:p>
    <w:p w:rsidR="00FA7413" w:rsidRDefault="00D712A8">
      <w:pPr>
        <w:spacing w:after="175"/>
        <w:ind w:left="360"/>
      </w:pPr>
      <w:r>
        <w:rPr>
          <w:rFonts w:ascii="Arial" w:eastAsia="Arial" w:hAnsi="Arial" w:cs="Arial"/>
          <w:i/>
          <w:color w:val="222222"/>
        </w:rPr>
        <w:t xml:space="preserve"> </w:t>
      </w:r>
    </w:p>
    <w:p w:rsidR="00FA7413" w:rsidRDefault="00D712A8">
      <w:pPr>
        <w:spacing w:after="148"/>
        <w:ind w:left="360"/>
      </w:pPr>
      <w:r>
        <w:rPr>
          <w:rFonts w:ascii="Arial" w:eastAsia="Arial" w:hAnsi="Arial" w:cs="Arial"/>
          <w:i/>
          <w:color w:val="222222"/>
        </w:rPr>
        <w:t xml:space="preserve"> </w:t>
      </w:r>
    </w:p>
    <w:p w:rsidR="00FA7413" w:rsidRDefault="00D712A8">
      <w:pPr>
        <w:spacing w:after="0"/>
        <w:ind w:left="360"/>
      </w:pPr>
      <w:r>
        <w:rPr>
          <w:rFonts w:ascii="Arial" w:eastAsia="Arial" w:hAnsi="Arial" w:cs="Arial"/>
          <w:b/>
          <w:sz w:val="24"/>
        </w:rPr>
        <w:t xml:space="preserve"> </w:t>
      </w:r>
    </w:p>
    <w:p w:rsidR="00FA7413" w:rsidRDefault="00D712A8">
      <w:pPr>
        <w:spacing w:after="98"/>
        <w:ind w:left="360"/>
      </w:pPr>
      <w:r>
        <w:rPr>
          <w:rFonts w:ascii="Arial" w:eastAsia="Arial" w:hAnsi="Arial" w:cs="Arial"/>
          <w:b/>
          <w:sz w:val="24"/>
        </w:rPr>
        <w:t xml:space="preserve"> </w:t>
      </w:r>
    </w:p>
    <w:p w:rsidR="00FA7413" w:rsidRDefault="00D712A8">
      <w:pPr>
        <w:spacing w:after="93" w:line="249" w:lineRule="auto"/>
        <w:ind w:left="355" w:right="66" w:hanging="10"/>
        <w:jc w:val="both"/>
      </w:pPr>
      <w:r>
        <w:rPr>
          <w:rFonts w:ascii="Arial" w:eastAsia="Arial" w:hAnsi="Arial" w:cs="Arial"/>
          <w:b/>
          <w:sz w:val="24"/>
        </w:rPr>
        <w:t>3.-</w:t>
      </w:r>
      <w:r>
        <w:rPr>
          <w:rFonts w:ascii="Arial" w:eastAsia="Arial" w:hAnsi="Arial" w:cs="Arial"/>
          <w:sz w:val="24"/>
        </w:rPr>
        <w:t xml:space="preserve"> </w:t>
      </w:r>
      <w:r>
        <w:rPr>
          <w:rFonts w:ascii="Arial" w:eastAsia="Arial" w:hAnsi="Arial" w:cs="Arial"/>
          <w:b/>
          <w:sz w:val="24"/>
        </w:rPr>
        <w:t>Expediente 5897/2021. Propuesta del Concejal delegado de Hacienda de 16 de junio de 2021 al Pleno de aprobación inicial del expediente de modificación presupuestaria nº 5897/2021, por créditos extraordinarios financiado con remanente de tesorería para gast</w:t>
      </w:r>
      <w:r>
        <w:rPr>
          <w:rFonts w:ascii="Arial" w:eastAsia="Arial" w:hAnsi="Arial" w:cs="Arial"/>
          <w:b/>
          <w:sz w:val="24"/>
        </w:rPr>
        <w:t>os generales por importe de 496.821,47 euros.</w:t>
      </w:r>
      <w:r>
        <w:rPr>
          <w:rFonts w:ascii="Arial" w:eastAsia="Arial" w:hAnsi="Arial" w:cs="Arial"/>
        </w:rPr>
        <w:t xml:space="preserve"> </w:t>
      </w:r>
    </w:p>
    <w:p w:rsidR="00FA7413" w:rsidRDefault="00D712A8">
      <w:pPr>
        <w:spacing w:after="101"/>
        <w:ind w:left="360"/>
      </w:pP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 xml:space="preserve">Consta en el expediente propuesta de la Alcaldesa-Presidenta, de fecha 16 de junio de 2021, cuyo tenor literal es el siguiente: </w:t>
      </w:r>
    </w:p>
    <w:p w:rsidR="00FA7413" w:rsidRDefault="00D712A8">
      <w:pPr>
        <w:spacing w:after="103"/>
        <w:ind w:left="360"/>
      </w:pPr>
      <w:r>
        <w:rPr>
          <w:rFonts w:ascii="Arial" w:eastAsia="Arial" w:hAnsi="Arial" w:cs="Arial"/>
          <w:b/>
        </w:rPr>
        <w:t xml:space="preserve"> </w:t>
      </w:r>
    </w:p>
    <w:p w:rsidR="00FA7413" w:rsidRDefault="00D712A8">
      <w:pPr>
        <w:spacing w:after="98"/>
        <w:ind w:left="360"/>
      </w:pPr>
      <w:r>
        <w:rPr>
          <w:rFonts w:ascii="Arial" w:eastAsia="Arial" w:hAnsi="Arial" w:cs="Arial"/>
        </w:rPr>
        <w:t xml:space="preserve"> </w:t>
      </w:r>
    </w:p>
    <w:p w:rsidR="00FA7413" w:rsidRDefault="00D712A8">
      <w:pPr>
        <w:spacing w:after="66" w:line="248" w:lineRule="auto"/>
        <w:ind w:left="345" w:right="64" w:firstLine="708"/>
        <w:jc w:val="both"/>
      </w:pPr>
      <w:r>
        <w:rPr>
          <w:rFonts w:ascii="Arial" w:eastAsia="Arial" w:hAnsi="Arial" w:cs="Arial"/>
        </w:rPr>
        <w:t xml:space="preserve">“El Ayuntamiento de Candelaria necesita créditos extraordinarios a los consignados en su Presupuesto General 2021 para llevar a cabo actuaciones de mejora de instalaciones e infraestructuras municipales con ocasión de la ejecución de las obras siguientes: </w:t>
      </w:r>
    </w:p>
    <w:p w:rsidR="00FA7413" w:rsidRDefault="00D712A8">
      <w:pPr>
        <w:spacing w:after="146"/>
        <w:ind w:left="1068"/>
      </w:pPr>
      <w:r>
        <w:rPr>
          <w:rFonts w:ascii="Arial" w:eastAsia="Arial" w:hAnsi="Arial" w:cs="Arial"/>
        </w:rPr>
        <w:t xml:space="preserve"> </w:t>
      </w:r>
    </w:p>
    <w:p w:rsidR="00FA7413" w:rsidRDefault="00D712A8">
      <w:pPr>
        <w:numPr>
          <w:ilvl w:val="0"/>
          <w:numId w:val="4"/>
        </w:numPr>
        <w:spacing w:after="109" w:line="248" w:lineRule="auto"/>
        <w:ind w:right="64" w:hanging="358"/>
        <w:jc w:val="both"/>
      </w:pPr>
      <w:r>
        <w:rPr>
          <w:rFonts w:ascii="Arial" w:eastAsia="Arial" w:hAnsi="Arial" w:cs="Arial"/>
          <w:b/>
        </w:rPr>
        <w:t>Obra Accesibilidad CEIP Principe Felipe</w:t>
      </w:r>
      <w:r>
        <w:rPr>
          <w:rFonts w:ascii="Arial" w:eastAsia="Arial" w:hAnsi="Arial" w:cs="Arial"/>
        </w:rPr>
        <w:t>: que consisten en obras de mejora de parte del cerramiento actual del C.E.I.P. Príncipe Felipe de Candelaria, que da frente a la calle Santa Ana y a un callejón, para dotar de un acceso de vehículos a su interior con el fin de mejorar su accesibilidad y a</w:t>
      </w:r>
      <w:r>
        <w:rPr>
          <w:rFonts w:ascii="Arial" w:eastAsia="Arial" w:hAnsi="Arial" w:cs="Arial"/>
        </w:rPr>
        <w:t xml:space="preserve"> la vez para mejorar la evacuación de los alumnos y trasladar al exterior el actual cuarto de bombonas de gas propano de la cocina del comedor del colegio.</w:t>
      </w:r>
      <w:r>
        <w:rPr>
          <w:rFonts w:ascii="Times New Roman" w:eastAsia="Times New Roman" w:hAnsi="Times New Roman" w:cs="Times New Roman"/>
          <w:sz w:val="24"/>
        </w:rPr>
        <w:t xml:space="preserve"> </w:t>
      </w:r>
    </w:p>
    <w:p w:rsidR="00FA7413" w:rsidRDefault="00D712A8">
      <w:pPr>
        <w:spacing w:after="148"/>
        <w:ind w:left="1114"/>
      </w:pPr>
      <w:r>
        <w:rPr>
          <w:noProof/>
        </w:rPr>
        <mc:AlternateContent>
          <mc:Choice Requires="wpg">
            <w:drawing>
              <wp:anchor distT="0" distB="0" distL="114300" distR="114300" simplePos="0" relativeHeight="251672576"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00258" name="Group 200258"/>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544" name="Rectangle 1544"/>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Cód. Validación: 946JAL4TJAGYNDDM76ZM7ZAYZ | Verificación: https://candelaria.sedelectronica.es/</w:t>
                              </w:r>
                              <w:r>
                                <w:rPr>
                                  <w:rFonts w:ascii="Arial" w:eastAsia="Arial" w:hAnsi="Arial" w:cs="Arial"/>
                                  <w:sz w:val="12"/>
                                </w:rPr>
                                <w:t xml:space="preserve"> </w:t>
                              </w:r>
                            </w:p>
                          </w:txbxContent>
                        </wps:txbx>
                        <wps:bodyPr horzOverflow="overflow" vert="horz" lIns="0" tIns="0" rIns="0" bIns="0" rtlCol="0">
                          <a:noAutofit/>
                        </wps:bodyPr>
                      </wps:wsp>
                      <wps:wsp>
                        <wps:cNvPr id="1545" name="Rectangle 1545"/>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13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0258" style="width:12.7031pt;height:275.586pt;position:absolute;mso-position-horizontal-relative:page;mso-position-horizontal:absolute;margin-left:682.278pt;mso-position-vertical-relative:page;margin-top:536.334pt;" coordsize="1613,34999">
                <v:rect id="Rectangle 1544"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545"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 de 180 </w:t>
                        </w:r>
                      </w:p>
                    </w:txbxContent>
                  </v:textbox>
                </v:rect>
                <w10:wrap type="square"/>
              </v:group>
            </w:pict>
          </mc:Fallback>
        </mc:AlternateContent>
      </w:r>
      <w:r>
        <w:rPr>
          <w:rFonts w:ascii="Arial" w:eastAsia="Arial" w:hAnsi="Arial" w:cs="Arial"/>
        </w:rPr>
        <w:t xml:space="preserve"> </w:t>
      </w:r>
    </w:p>
    <w:p w:rsidR="00FA7413" w:rsidRDefault="00D712A8">
      <w:pPr>
        <w:numPr>
          <w:ilvl w:val="0"/>
          <w:numId w:val="4"/>
        </w:numPr>
        <w:spacing w:after="109" w:line="248" w:lineRule="auto"/>
        <w:ind w:right="64" w:hanging="358"/>
        <w:jc w:val="both"/>
      </w:pPr>
      <w:r>
        <w:rPr>
          <w:rFonts w:ascii="Arial" w:eastAsia="Arial" w:hAnsi="Arial" w:cs="Arial"/>
          <w:b/>
        </w:rPr>
        <w:t xml:space="preserve">Obra Fugas de agua CEIP Punta Larga: </w:t>
      </w:r>
      <w:r>
        <w:rPr>
          <w:rFonts w:ascii="Arial" w:eastAsia="Arial" w:hAnsi="Arial" w:cs="Arial"/>
        </w:rPr>
        <w:t>Debido a varias roturas en las tuberías del centro en la zona infantil por estar las mismas en mal estado por su antigü</w:t>
      </w:r>
      <w:r>
        <w:rPr>
          <w:rFonts w:ascii="Arial" w:eastAsia="Arial" w:hAnsi="Arial" w:cs="Arial"/>
        </w:rPr>
        <w:t>edad nos vemos en la necesidad de realizar una obra para solucionar el problema. Las obras a realizar consisten fundamentalmente en la sustitución de la actual tubería de abastecimiento de agua potable a la zona de los cuartos de baño por la parte delanter</w:t>
      </w:r>
      <w:r>
        <w:rPr>
          <w:rFonts w:ascii="Arial" w:eastAsia="Arial" w:hAnsi="Arial" w:cs="Arial"/>
        </w:rPr>
        <w:t>a y por la parte trasera, así como en los cuartos de baño de la cancha deportiva y en las aulas sobre cancha deportiva.</w:t>
      </w:r>
      <w:r>
        <w:rPr>
          <w:rFonts w:ascii="Times New Roman" w:eastAsia="Times New Roman" w:hAnsi="Times New Roman" w:cs="Times New Roman"/>
          <w:sz w:val="24"/>
        </w:rPr>
        <w:t xml:space="preserve"> </w:t>
      </w:r>
    </w:p>
    <w:p w:rsidR="00FA7413" w:rsidRDefault="00D712A8">
      <w:pPr>
        <w:spacing w:after="149"/>
        <w:ind w:left="360"/>
      </w:pPr>
      <w:r>
        <w:rPr>
          <w:rFonts w:ascii="Arial" w:eastAsia="Arial" w:hAnsi="Arial" w:cs="Arial"/>
          <w:b/>
        </w:rPr>
        <w:t xml:space="preserve"> </w:t>
      </w:r>
    </w:p>
    <w:p w:rsidR="00FA7413" w:rsidRDefault="00D712A8">
      <w:pPr>
        <w:numPr>
          <w:ilvl w:val="0"/>
          <w:numId w:val="4"/>
        </w:numPr>
        <w:spacing w:after="109" w:line="248" w:lineRule="auto"/>
        <w:ind w:right="64" w:hanging="358"/>
        <w:jc w:val="both"/>
      </w:pPr>
      <w:r>
        <w:rPr>
          <w:rFonts w:ascii="Arial" w:eastAsia="Arial" w:hAnsi="Arial" w:cs="Arial"/>
          <w:b/>
        </w:rPr>
        <w:t xml:space="preserve">Obra Camino Rural los Asomaderos: </w:t>
      </w:r>
      <w:r>
        <w:rPr>
          <w:rFonts w:ascii="Arial" w:eastAsia="Arial" w:hAnsi="Arial" w:cs="Arial"/>
        </w:rPr>
        <w:t>El camino de los Asomaderos facilita el acceso a una zona agrícola en la que se enclavan explotacio</w:t>
      </w:r>
      <w:r>
        <w:rPr>
          <w:rFonts w:ascii="Arial" w:eastAsia="Arial" w:hAnsi="Arial" w:cs="Arial"/>
        </w:rPr>
        <w:t>nes agrícolas y ganaderas en explotación actualmente y que comprende unos 150.000 me, la mejora de las condiciones del camino y las actuaciones previstas en éste proyecto facilitarán el acceso y puesta en explotación de parcelas colindante, incentivando de</w:t>
      </w:r>
      <w:r>
        <w:rPr>
          <w:rFonts w:ascii="Arial" w:eastAsia="Arial" w:hAnsi="Arial" w:cs="Arial"/>
        </w:rPr>
        <w:t xml:space="preserve"> éste modo la puesta en explotación y uso de parcelas que actualmente no lo están. Resulta necesario la ejecución de la mencionada actuación en el presente ejercicio, que posibilite la revitalización de esta zona agraria.</w:t>
      </w:r>
      <w:r>
        <w:rPr>
          <w:rFonts w:ascii="Times New Roman" w:eastAsia="Times New Roman" w:hAnsi="Times New Roman" w:cs="Times New Roman"/>
          <w:sz w:val="24"/>
        </w:rPr>
        <w:t xml:space="preserve"> </w:t>
      </w:r>
    </w:p>
    <w:p w:rsidR="00FA7413" w:rsidRDefault="00D712A8">
      <w:pPr>
        <w:spacing w:after="153"/>
        <w:ind w:left="1068"/>
      </w:pPr>
      <w:r>
        <w:rPr>
          <w:rFonts w:ascii="Arial" w:eastAsia="Arial" w:hAnsi="Arial" w:cs="Arial"/>
        </w:rPr>
        <w:t xml:space="preserve"> </w:t>
      </w:r>
    </w:p>
    <w:p w:rsidR="00FA7413" w:rsidRDefault="00D712A8">
      <w:pPr>
        <w:spacing w:after="153"/>
        <w:ind w:left="1068"/>
      </w:pPr>
      <w:r>
        <w:rPr>
          <w:rFonts w:ascii="Arial" w:eastAsia="Arial" w:hAnsi="Arial" w:cs="Arial"/>
        </w:rPr>
        <w:t xml:space="preserve">  </w:t>
      </w:r>
    </w:p>
    <w:p w:rsidR="00FA7413" w:rsidRDefault="00D712A8">
      <w:pPr>
        <w:spacing w:after="152" w:line="248" w:lineRule="auto"/>
        <w:ind w:left="345" w:right="64" w:firstLine="720"/>
        <w:jc w:val="both"/>
      </w:pPr>
      <w:r>
        <w:rPr>
          <w:rFonts w:ascii="Arial" w:eastAsia="Arial" w:hAnsi="Arial" w:cs="Arial"/>
        </w:rPr>
        <w:t>Siendo un gasto específico y</w:t>
      </w:r>
      <w:r>
        <w:rPr>
          <w:rFonts w:ascii="Arial" w:eastAsia="Arial" w:hAnsi="Arial" w:cs="Arial"/>
        </w:rPr>
        <w:t xml:space="preserve"> determinado ante la imposibilidad de demorarlo a ejercicios posteriores, y no habiendo crédito suficiente en las aplicaciónes presupuestarias. </w:t>
      </w:r>
    </w:p>
    <w:p w:rsidR="00FA7413" w:rsidRDefault="00D712A8">
      <w:pPr>
        <w:spacing w:after="112" w:line="248" w:lineRule="auto"/>
        <w:ind w:left="355" w:right="62" w:hanging="10"/>
        <w:jc w:val="both"/>
      </w:pPr>
      <w:r>
        <w:rPr>
          <w:rFonts w:ascii="Arial" w:eastAsia="Arial" w:hAnsi="Arial" w:cs="Arial"/>
          <w:b/>
        </w:rPr>
        <w:t>SE PROPONE:</w:t>
      </w:r>
      <w:r>
        <w:rPr>
          <w:rFonts w:ascii="Times New Roman" w:eastAsia="Times New Roman" w:hAnsi="Times New Roman" w:cs="Times New Roman"/>
          <w:sz w:val="24"/>
        </w:rPr>
        <w:t xml:space="preserve"> </w:t>
      </w:r>
    </w:p>
    <w:p w:rsidR="00FA7413" w:rsidRDefault="00D712A8">
      <w:pPr>
        <w:spacing w:after="109" w:line="248" w:lineRule="auto"/>
        <w:ind w:left="355" w:right="64" w:hanging="10"/>
        <w:jc w:val="both"/>
      </w:pPr>
      <w:r>
        <w:rPr>
          <w:rFonts w:ascii="Arial" w:eastAsia="Arial" w:hAnsi="Arial" w:cs="Arial"/>
        </w:rPr>
        <w:t xml:space="preserve">Primero: Tramitar expediente 5897/2021 de modificación presupuestaria por Créditos extraordinarios financiado con Remanente de Tesorería para gastos generales, por una cantidad total de </w:t>
      </w:r>
      <w:r>
        <w:rPr>
          <w:rFonts w:ascii="Arial" w:eastAsia="Arial" w:hAnsi="Arial" w:cs="Arial"/>
          <w:b/>
        </w:rPr>
        <w:t>496.821,51</w:t>
      </w:r>
      <w:r>
        <w:rPr>
          <w:rFonts w:ascii="Arial" w:eastAsia="Arial" w:hAnsi="Arial" w:cs="Arial"/>
        </w:rPr>
        <w:t xml:space="preserve"> </w:t>
      </w:r>
      <w:r>
        <w:rPr>
          <w:rFonts w:ascii="Arial" w:eastAsia="Arial" w:hAnsi="Arial" w:cs="Arial"/>
          <w:b/>
        </w:rPr>
        <w:t>euros</w:t>
      </w:r>
      <w:r>
        <w:rPr>
          <w:rFonts w:ascii="Arial" w:eastAsia="Arial" w:hAnsi="Arial" w:cs="Arial"/>
        </w:rPr>
        <w:t xml:space="preserve">, de acuerdo al siguiente detalle: </w:t>
      </w:r>
    </w:p>
    <w:p w:rsidR="00FA7413" w:rsidRDefault="00D712A8">
      <w:pPr>
        <w:spacing w:after="159"/>
        <w:ind w:left="360"/>
      </w:pPr>
      <w:r>
        <w:rPr>
          <w:rFonts w:ascii="Arial" w:eastAsia="Arial" w:hAnsi="Arial" w:cs="Arial"/>
        </w:rPr>
        <w:t xml:space="preserve"> </w:t>
      </w:r>
    </w:p>
    <w:p w:rsidR="00FA7413" w:rsidRDefault="00D712A8">
      <w:pPr>
        <w:tabs>
          <w:tab w:val="center" w:pos="500"/>
          <w:tab w:val="center" w:pos="1925"/>
          <w:tab w:val="center" w:pos="5510"/>
          <w:tab w:val="center" w:pos="8702"/>
        </w:tabs>
        <w:spacing w:after="11" w:line="248" w:lineRule="auto"/>
      </w:pPr>
      <w:r>
        <w:tab/>
      </w:r>
      <w:r>
        <w:rPr>
          <w:rFonts w:ascii="Arial" w:eastAsia="Arial" w:hAnsi="Arial" w:cs="Arial"/>
        </w:rPr>
        <w:t xml:space="preserve"> </w:t>
      </w:r>
      <w:r>
        <w:rPr>
          <w:rFonts w:ascii="Arial" w:eastAsia="Arial" w:hAnsi="Arial" w:cs="Arial"/>
        </w:rPr>
        <w:tab/>
        <w:t xml:space="preserve"> </w:t>
      </w:r>
      <w:r>
        <w:rPr>
          <w:rFonts w:ascii="Arial" w:eastAsia="Arial" w:hAnsi="Arial" w:cs="Arial"/>
        </w:rPr>
        <w:tab/>
      </w:r>
      <w:r>
        <w:rPr>
          <w:rFonts w:ascii="Arial" w:eastAsia="Arial" w:hAnsi="Arial" w:cs="Arial"/>
          <w:b/>
        </w:rPr>
        <w:t>Estado de G</w:t>
      </w:r>
      <w:r>
        <w:rPr>
          <w:rFonts w:ascii="Arial" w:eastAsia="Arial" w:hAnsi="Arial" w:cs="Arial"/>
          <w:b/>
        </w:rPr>
        <w:t xml:space="preserve">astos  </w:t>
      </w:r>
      <w:r>
        <w:rPr>
          <w:rFonts w:ascii="Arial" w:eastAsia="Arial" w:hAnsi="Arial" w:cs="Arial"/>
          <w:b/>
        </w:rPr>
        <w:tab/>
        <w:t xml:space="preserve"> </w:t>
      </w:r>
    </w:p>
    <w:tbl>
      <w:tblPr>
        <w:tblStyle w:val="TableGrid"/>
        <w:tblW w:w="8891" w:type="dxa"/>
        <w:tblInd w:w="431" w:type="dxa"/>
        <w:tblCellMar>
          <w:top w:w="65" w:type="dxa"/>
          <w:left w:w="68" w:type="dxa"/>
          <w:bottom w:w="66" w:type="dxa"/>
          <w:right w:w="7" w:type="dxa"/>
        </w:tblCellMar>
        <w:tblLook w:val="04A0" w:firstRow="1" w:lastRow="0" w:firstColumn="1" w:lastColumn="0" w:noHBand="0" w:noVBand="1"/>
      </w:tblPr>
      <w:tblGrid>
        <w:gridCol w:w="1423"/>
        <w:gridCol w:w="1082"/>
        <w:gridCol w:w="5143"/>
        <w:gridCol w:w="1243"/>
      </w:tblGrid>
      <w:tr w:rsidR="00FA7413">
        <w:trPr>
          <w:trHeight w:val="634"/>
        </w:trPr>
        <w:tc>
          <w:tcPr>
            <w:tcW w:w="1423"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FA7413" w:rsidRDefault="00D712A8">
            <w:pPr>
              <w:spacing w:after="0"/>
              <w:ind w:left="84"/>
            </w:pPr>
            <w:r>
              <w:rPr>
                <w:rFonts w:ascii="Arial" w:eastAsia="Arial" w:hAnsi="Arial" w:cs="Arial"/>
                <w:b/>
              </w:rPr>
              <w:t xml:space="preserve">Aplicación </w:t>
            </w:r>
          </w:p>
        </w:tc>
        <w:tc>
          <w:tcPr>
            <w:tcW w:w="1082"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jc w:val="center"/>
            </w:pPr>
            <w:r>
              <w:rPr>
                <w:rFonts w:ascii="Arial" w:eastAsia="Arial" w:hAnsi="Arial" w:cs="Arial"/>
                <w:b/>
              </w:rPr>
              <w:t xml:space="preserve">Proyecto gasto </w:t>
            </w:r>
          </w:p>
        </w:tc>
        <w:tc>
          <w:tcPr>
            <w:tcW w:w="5143"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FA7413" w:rsidRDefault="00D712A8">
            <w:pPr>
              <w:spacing w:after="0"/>
              <w:ind w:right="58"/>
              <w:jc w:val="center"/>
            </w:pPr>
            <w:r>
              <w:rPr>
                <w:rFonts w:ascii="Arial" w:eastAsia="Arial" w:hAnsi="Arial" w:cs="Arial"/>
                <w:b/>
              </w:rPr>
              <w:t xml:space="preserve">Denominación </w:t>
            </w:r>
          </w:p>
        </w:tc>
        <w:tc>
          <w:tcPr>
            <w:tcW w:w="1243"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FA7413" w:rsidRDefault="00D712A8">
            <w:pPr>
              <w:spacing w:after="0"/>
              <w:ind w:right="57"/>
              <w:jc w:val="center"/>
            </w:pPr>
            <w:r>
              <w:rPr>
                <w:rFonts w:ascii="Arial" w:eastAsia="Arial" w:hAnsi="Arial" w:cs="Arial"/>
                <w:b/>
              </w:rPr>
              <w:t xml:space="preserve">Importe </w:t>
            </w:r>
          </w:p>
        </w:tc>
      </w:tr>
      <w:tr w:rsidR="00FA7413">
        <w:trPr>
          <w:trHeight w:val="637"/>
        </w:trPr>
        <w:tc>
          <w:tcPr>
            <w:tcW w:w="1423" w:type="dxa"/>
            <w:tcBorders>
              <w:top w:val="single" w:sz="4" w:space="0" w:color="000000"/>
              <w:left w:val="single" w:sz="4" w:space="0" w:color="000000"/>
              <w:bottom w:val="single" w:sz="4" w:space="0" w:color="000000"/>
              <w:right w:val="single" w:sz="4" w:space="0" w:color="000000"/>
            </w:tcBorders>
            <w:vAlign w:val="bottom"/>
          </w:tcPr>
          <w:p w:rsidR="00FA7413" w:rsidRDefault="00D712A8">
            <w:pPr>
              <w:spacing w:after="0"/>
              <w:jc w:val="both"/>
            </w:pPr>
            <w:r>
              <w:rPr>
                <w:rFonts w:ascii="Arial" w:eastAsia="Arial" w:hAnsi="Arial" w:cs="Arial"/>
              </w:rPr>
              <w:t xml:space="preserve">41400.61901 </w:t>
            </w:r>
          </w:p>
        </w:tc>
        <w:tc>
          <w:tcPr>
            <w:tcW w:w="1082" w:type="dxa"/>
            <w:tcBorders>
              <w:top w:val="single" w:sz="4" w:space="0" w:color="000000"/>
              <w:left w:val="single" w:sz="4" w:space="0" w:color="000000"/>
              <w:bottom w:val="single" w:sz="4" w:space="0" w:color="000000"/>
              <w:right w:val="single" w:sz="4" w:space="0" w:color="000000"/>
            </w:tcBorders>
            <w:vAlign w:val="bottom"/>
          </w:tcPr>
          <w:p w:rsidR="00FA7413" w:rsidRDefault="00D712A8">
            <w:pPr>
              <w:spacing w:after="0"/>
              <w:ind w:left="2"/>
              <w:jc w:val="both"/>
            </w:pPr>
            <w:r>
              <w:rPr>
                <w:rFonts w:ascii="Arial" w:eastAsia="Arial" w:hAnsi="Arial" w:cs="Arial"/>
              </w:rPr>
              <w:t xml:space="preserve">P.21.2.38 </w:t>
            </w:r>
          </w:p>
        </w:tc>
        <w:tc>
          <w:tcPr>
            <w:tcW w:w="514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3"/>
            </w:pPr>
            <w:r>
              <w:rPr>
                <w:rFonts w:ascii="Arial" w:eastAsia="Arial" w:hAnsi="Arial" w:cs="Arial"/>
              </w:rPr>
              <w:t xml:space="preserve">Repavimentación tramo urbano camino rural Los Asomaderos </w:t>
            </w:r>
          </w:p>
        </w:tc>
        <w:tc>
          <w:tcPr>
            <w:tcW w:w="1243" w:type="dxa"/>
            <w:tcBorders>
              <w:top w:val="single" w:sz="4" w:space="0" w:color="000000"/>
              <w:left w:val="single" w:sz="4" w:space="0" w:color="000000"/>
              <w:bottom w:val="single" w:sz="4" w:space="0" w:color="000000"/>
              <w:right w:val="single" w:sz="4" w:space="0" w:color="000000"/>
            </w:tcBorders>
            <w:vAlign w:val="bottom"/>
          </w:tcPr>
          <w:p w:rsidR="00FA7413" w:rsidRDefault="00D712A8">
            <w:pPr>
              <w:spacing w:after="0"/>
              <w:ind w:left="4"/>
              <w:jc w:val="both"/>
            </w:pPr>
            <w:r>
              <w:rPr>
                <w:rFonts w:ascii="Arial" w:eastAsia="Arial" w:hAnsi="Arial" w:cs="Arial"/>
              </w:rPr>
              <w:t xml:space="preserve">444.816,59 </w:t>
            </w:r>
          </w:p>
        </w:tc>
      </w:tr>
      <w:tr w:rsidR="00FA7413">
        <w:trPr>
          <w:trHeight w:val="384"/>
        </w:trPr>
        <w:tc>
          <w:tcPr>
            <w:tcW w:w="1423" w:type="dxa"/>
            <w:tcBorders>
              <w:top w:val="single" w:sz="4" w:space="0" w:color="000000"/>
              <w:left w:val="single" w:sz="4" w:space="0" w:color="000000"/>
              <w:bottom w:val="single" w:sz="4" w:space="0" w:color="000000"/>
              <w:right w:val="single" w:sz="4" w:space="0" w:color="000000"/>
            </w:tcBorders>
          </w:tcPr>
          <w:p w:rsidR="00FA7413" w:rsidRDefault="00D712A8">
            <w:pPr>
              <w:spacing w:after="0"/>
              <w:jc w:val="both"/>
            </w:pPr>
            <w:r>
              <w:rPr>
                <w:rFonts w:ascii="Arial" w:eastAsia="Arial" w:hAnsi="Arial" w:cs="Arial"/>
              </w:rPr>
              <w:t xml:space="preserve">32300.21201 </w:t>
            </w:r>
          </w:p>
        </w:tc>
        <w:tc>
          <w:tcPr>
            <w:tcW w:w="108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2"/>
              <w:jc w:val="both"/>
            </w:pPr>
            <w:r>
              <w:rPr>
                <w:rFonts w:ascii="Arial" w:eastAsia="Arial" w:hAnsi="Arial" w:cs="Arial"/>
              </w:rPr>
              <w:t xml:space="preserve">P.21.2.38 </w:t>
            </w:r>
          </w:p>
        </w:tc>
        <w:tc>
          <w:tcPr>
            <w:tcW w:w="514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3"/>
            </w:pPr>
            <w:r>
              <w:rPr>
                <w:rFonts w:ascii="Arial" w:eastAsia="Arial" w:hAnsi="Arial" w:cs="Arial"/>
              </w:rPr>
              <w:t xml:space="preserve">Obras Accesibilidad CEIP Príncipe Felipe </w:t>
            </w:r>
          </w:p>
        </w:tc>
        <w:tc>
          <w:tcPr>
            <w:tcW w:w="124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126"/>
            </w:pPr>
            <w:r>
              <w:rPr>
                <w:rFonts w:ascii="Arial" w:eastAsia="Arial" w:hAnsi="Arial" w:cs="Arial"/>
              </w:rPr>
              <w:t xml:space="preserve">39.761,13 </w:t>
            </w:r>
          </w:p>
        </w:tc>
      </w:tr>
      <w:tr w:rsidR="00FA7413">
        <w:trPr>
          <w:trHeight w:val="384"/>
        </w:trPr>
        <w:tc>
          <w:tcPr>
            <w:tcW w:w="1423" w:type="dxa"/>
            <w:tcBorders>
              <w:top w:val="single" w:sz="4" w:space="0" w:color="000000"/>
              <w:left w:val="single" w:sz="4" w:space="0" w:color="000000"/>
              <w:bottom w:val="single" w:sz="4" w:space="0" w:color="000000"/>
              <w:right w:val="single" w:sz="4" w:space="0" w:color="000000"/>
            </w:tcBorders>
          </w:tcPr>
          <w:p w:rsidR="00FA7413" w:rsidRDefault="00D712A8">
            <w:pPr>
              <w:spacing w:after="0"/>
              <w:jc w:val="both"/>
            </w:pPr>
            <w:r>
              <w:rPr>
                <w:rFonts w:ascii="Arial" w:eastAsia="Arial" w:hAnsi="Arial" w:cs="Arial"/>
              </w:rPr>
              <w:t xml:space="preserve">32300.21202 </w:t>
            </w:r>
          </w:p>
        </w:tc>
        <w:tc>
          <w:tcPr>
            <w:tcW w:w="108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2"/>
              <w:jc w:val="both"/>
            </w:pPr>
            <w:r>
              <w:rPr>
                <w:rFonts w:ascii="Arial" w:eastAsia="Arial" w:hAnsi="Arial" w:cs="Arial"/>
              </w:rPr>
              <w:t xml:space="preserve">P.21.2.38 </w:t>
            </w:r>
          </w:p>
        </w:tc>
        <w:tc>
          <w:tcPr>
            <w:tcW w:w="514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3"/>
            </w:pPr>
            <w:r>
              <w:rPr>
                <w:rFonts w:ascii="Arial" w:eastAsia="Arial" w:hAnsi="Arial" w:cs="Arial"/>
              </w:rPr>
              <w:t xml:space="preserve">Obra Fugas de agua CEIP Punta Larga </w:t>
            </w:r>
          </w:p>
        </w:tc>
        <w:tc>
          <w:tcPr>
            <w:tcW w:w="124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126"/>
            </w:pPr>
            <w:r>
              <w:rPr>
                <w:rFonts w:ascii="Arial" w:eastAsia="Arial" w:hAnsi="Arial" w:cs="Arial"/>
              </w:rPr>
              <w:t xml:space="preserve">12.243,75 </w:t>
            </w:r>
          </w:p>
        </w:tc>
      </w:tr>
      <w:tr w:rsidR="00FA7413">
        <w:trPr>
          <w:trHeight w:val="380"/>
        </w:trPr>
        <w:tc>
          <w:tcPr>
            <w:tcW w:w="142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pPr>
            <w:r>
              <w:rPr>
                <w:rFonts w:ascii="Arial" w:eastAsia="Arial" w:hAnsi="Arial" w:cs="Arial"/>
                <w:b/>
              </w:rPr>
              <w:t xml:space="preserve">  </w:t>
            </w:r>
          </w:p>
        </w:tc>
        <w:tc>
          <w:tcPr>
            <w:tcW w:w="1082"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left="2"/>
              <w:jc w:val="center"/>
            </w:pPr>
            <w:r>
              <w:rPr>
                <w:rFonts w:ascii="Arial" w:eastAsia="Arial" w:hAnsi="Arial" w:cs="Arial"/>
                <w:b/>
              </w:rPr>
              <w:t xml:space="preserve">  </w:t>
            </w:r>
          </w:p>
        </w:tc>
        <w:tc>
          <w:tcPr>
            <w:tcW w:w="514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right="64"/>
              <w:jc w:val="center"/>
            </w:pPr>
            <w:r>
              <w:rPr>
                <w:rFonts w:ascii="Arial" w:eastAsia="Arial" w:hAnsi="Arial" w:cs="Arial"/>
                <w:b/>
              </w:rPr>
              <w:t xml:space="preserve">TOTAL </w:t>
            </w:r>
          </w:p>
        </w:tc>
        <w:tc>
          <w:tcPr>
            <w:tcW w:w="124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left="4"/>
              <w:jc w:val="both"/>
            </w:pPr>
            <w:r>
              <w:rPr>
                <w:rFonts w:ascii="Arial" w:eastAsia="Arial" w:hAnsi="Arial" w:cs="Arial"/>
                <w:b/>
              </w:rPr>
              <w:t>496.821,47</w:t>
            </w:r>
            <w:r>
              <w:rPr>
                <w:rFonts w:ascii="Times New Roman" w:eastAsia="Times New Roman" w:hAnsi="Times New Roman" w:cs="Times New Roman"/>
                <w:sz w:val="24"/>
              </w:rPr>
              <w:t xml:space="preserve"> </w:t>
            </w:r>
          </w:p>
        </w:tc>
      </w:tr>
    </w:tbl>
    <w:p w:rsidR="00FA7413" w:rsidRDefault="00D712A8">
      <w:pPr>
        <w:spacing w:after="107"/>
        <w:ind w:left="1784"/>
      </w:pPr>
      <w:r>
        <w:rPr>
          <w:rFonts w:ascii="Arial" w:eastAsia="Arial" w:hAnsi="Arial" w:cs="Arial"/>
          <w:b/>
        </w:rPr>
        <w:t xml:space="preserve"> </w:t>
      </w: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p>
    <w:p w:rsidR="00FA7413" w:rsidRDefault="00D712A8">
      <w:pPr>
        <w:tabs>
          <w:tab w:val="center" w:pos="500"/>
          <w:tab w:val="center" w:pos="1925"/>
          <w:tab w:val="center" w:pos="5510"/>
          <w:tab w:val="center" w:pos="8702"/>
        </w:tabs>
        <w:spacing w:after="11" w:line="248" w:lineRule="auto"/>
      </w:pPr>
      <w:r>
        <w:tab/>
      </w:r>
      <w:r>
        <w:rPr>
          <w:rFonts w:ascii="Arial" w:eastAsia="Arial" w:hAnsi="Arial" w:cs="Arial"/>
        </w:rPr>
        <w:t xml:space="preserve"> </w:t>
      </w:r>
      <w:r>
        <w:rPr>
          <w:rFonts w:ascii="Arial" w:eastAsia="Arial" w:hAnsi="Arial" w:cs="Arial"/>
        </w:rPr>
        <w:tab/>
        <w:t xml:space="preserve"> </w:t>
      </w:r>
      <w:r>
        <w:rPr>
          <w:rFonts w:ascii="Arial" w:eastAsia="Arial" w:hAnsi="Arial" w:cs="Arial"/>
        </w:rPr>
        <w:tab/>
      </w:r>
      <w:r>
        <w:rPr>
          <w:rFonts w:ascii="Arial" w:eastAsia="Arial" w:hAnsi="Arial" w:cs="Arial"/>
          <w:b/>
        </w:rPr>
        <w:t xml:space="preserve">Estado de Ingresos </w:t>
      </w:r>
      <w:r>
        <w:rPr>
          <w:rFonts w:ascii="Arial" w:eastAsia="Arial" w:hAnsi="Arial" w:cs="Arial"/>
          <w:b/>
        </w:rPr>
        <w:tab/>
        <w:t xml:space="preserve"> </w:t>
      </w:r>
    </w:p>
    <w:tbl>
      <w:tblPr>
        <w:tblStyle w:val="TableGrid"/>
        <w:tblW w:w="8891" w:type="dxa"/>
        <w:tblInd w:w="431" w:type="dxa"/>
        <w:tblCellMar>
          <w:top w:w="65" w:type="dxa"/>
          <w:left w:w="68" w:type="dxa"/>
          <w:bottom w:w="0" w:type="dxa"/>
          <w:right w:w="7" w:type="dxa"/>
        </w:tblCellMar>
        <w:tblLook w:val="04A0" w:firstRow="1" w:lastRow="0" w:firstColumn="1" w:lastColumn="0" w:noHBand="0" w:noVBand="1"/>
      </w:tblPr>
      <w:tblGrid>
        <w:gridCol w:w="1423"/>
        <w:gridCol w:w="1082"/>
        <w:gridCol w:w="5143"/>
        <w:gridCol w:w="1243"/>
      </w:tblGrid>
      <w:tr w:rsidR="00FA7413">
        <w:trPr>
          <w:trHeight w:val="382"/>
        </w:trPr>
        <w:tc>
          <w:tcPr>
            <w:tcW w:w="142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left="84"/>
            </w:pPr>
            <w:r>
              <w:rPr>
                <w:rFonts w:ascii="Arial" w:eastAsia="Arial" w:hAnsi="Arial" w:cs="Arial"/>
                <w:b/>
              </w:rPr>
              <w:t xml:space="preserve">Aplicación </w:t>
            </w:r>
          </w:p>
        </w:tc>
        <w:tc>
          <w:tcPr>
            <w:tcW w:w="1082"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left="2"/>
              <w:jc w:val="center"/>
            </w:pPr>
            <w:r>
              <w:rPr>
                <w:rFonts w:ascii="Arial" w:eastAsia="Arial" w:hAnsi="Arial" w:cs="Arial"/>
                <w:b/>
              </w:rPr>
              <w:t xml:space="preserve">  </w:t>
            </w:r>
          </w:p>
        </w:tc>
        <w:tc>
          <w:tcPr>
            <w:tcW w:w="514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right="58"/>
              <w:jc w:val="center"/>
            </w:pPr>
            <w:r>
              <w:rPr>
                <w:rFonts w:ascii="Arial" w:eastAsia="Arial" w:hAnsi="Arial" w:cs="Arial"/>
                <w:b/>
              </w:rPr>
              <w:t xml:space="preserve">Denominación </w:t>
            </w:r>
          </w:p>
        </w:tc>
        <w:tc>
          <w:tcPr>
            <w:tcW w:w="124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right="57"/>
              <w:jc w:val="center"/>
            </w:pPr>
            <w:r>
              <w:rPr>
                <w:rFonts w:ascii="Arial" w:eastAsia="Arial" w:hAnsi="Arial" w:cs="Arial"/>
                <w:b/>
              </w:rPr>
              <w:t xml:space="preserve">Importe </w:t>
            </w:r>
          </w:p>
        </w:tc>
      </w:tr>
      <w:tr w:rsidR="00FA7413">
        <w:trPr>
          <w:trHeight w:val="384"/>
        </w:trPr>
        <w:tc>
          <w:tcPr>
            <w:tcW w:w="142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64"/>
              <w:jc w:val="center"/>
            </w:pPr>
            <w:r>
              <w:rPr>
                <w:rFonts w:ascii="Arial" w:eastAsia="Arial" w:hAnsi="Arial" w:cs="Arial"/>
              </w:rPr>
              <w:t xml:space="preserve">870.00 </w:t>
            </w:r>
          </w:p>
        </w:tc>
        <w:tc>
          <w:tcPr>
            <w:tcW w:w="108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2"/>
              <w:jc w:val="center"/>
            </w:pPr>
            <w:r>
              <w:rPr>
                <w:rFonts w:ascii="Arial" w:eastAsia="Arial" w:hAnsi="Arial" w:cs="Arial"/>
              </w:rPr>
              <w:t xml:space="preserve">  </w:t>
            </w:r>
          </w:p>
        </w:tc>
        <w:tc>
          <w:tcPr>
            <w:tcW w:w="514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3"/>
            </w:pPr>
            <w:r>
              <w:rPr>
                <w:rFonts w:ascii="Arial" w:eastAsia="Arial" w:hAnsi="Arial" w:cs="Arial"/>
              </w:rPr>
              <w:t xml:space="preserve">Remanente de Tesorería para Gastos Generales  </w:t>
            </w:r>
          </w:p>
        </w:tc>
        <w:tc>
          <w:tcPr>
            <w:tcW w:w="124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4"/>
              <w:jc w:val="both"/>
            </w:pPr>
            <w:r>
              <w:rPr>
                <w:rFonts w:ascii="Arial" w:eastAsia="Arial" w:hAnsi="Arial" w:cs="Arial"/>
              </w:rPr>
              <w:t xml:space="preserve">496.821,47 </w:t>
            </w:r>
          </w:p>
        </w:tc>
      </w:tr>
      <w:tr w:rsidR="00FA7413">
        <w:trPr>
          <w:trHeight w:val="382"/>
        </w:trPr>
        <w:tc>
          <w:tcPr>
            <w:tcW w:w="142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pPr>
            <w:r>
              <w:rPr>
                <w:rFonts w:ascii="Arial" w:eastAsia="Arial" w:hAnsi="Arial" w:cs="Arial"/>
                <w:b/>
              </w:rPr>
              <w:t xml:space="preserve">  </w:t>
            </w:r>
          </w:p>
        </w:tc>
        <w:tc>
          <w:tcPr>
            <w:tcW w:w="1082"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left="2"/>
              <w:jc w:val="center"/>
            </w:pPr>
            <w:r>
              <w:rPr>
                <w:rFonts w:ascii="Arial" w:eastAsia="Arial" w:hAnsi="Arial" w:cs="Arial"/>
                <w:b/>
              </w:rPr>
              <w:t xml:space="preserve">  </w:t>
            </w:r>
          </w:p>
        </w:tc>
        <w:tc>
          <w:tcPr>
            <w:tcW w:w="514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right="64"/>
              <w:jc w:val="center"/>
            </w:pPr>
            <w:r>
              <w:rPr>
                <w:rFonts w:ascii="Arial" w:eastAsia="Arial" w:hAnsi="Arial" w:cs="Arial"/>
                <w:b/>
              </w:rPr>
              <w:t xml:space="preserve">TOTAL </w:t>
            </w:r>
          </w:p>
        </w:tc>
        <w:tc>
          <w:tcPr>
            <w:tcW w:w="124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left="4"/>
              <w:jc w:val="both"/>
            </w:pPr>
            <w:r>
              <w:rPr>
                <w:rFonts w:ascii="Arial" w:eastAsia="Arial" w:hAnsi="Arial" w:cs="Arial"/>
                <w:b/>
              </w:rPr>
              <w:t xml:space="preserve">496.821,47 </w:t>
            </w:r>
          </w:p>
        </w:tc>
      </w:tr>
    </w:tbl>
    <w:p w:rsidR="00FA7413" w:rsidRDefault="00D712A8">
      <w:pPr>
        <w:spacing w:after="121"/>
        <w:ind w:left="360"/>
      </w:pPr>
      <w:r>
        <w:rPr>
          <w:noProof/>
        </w:rPr>
        <mc:AlternateContent>
          <mc:Choice Requires="wpg">
            <w:drawing>
              <wp:anchor distT="0" distB="0" distL="114300" distR="114300" simplePos="0" relativeHeight="251673600"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05351" name="Group 205351"/>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884" name="Rectangle 1884"/>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885" name="Rectangle 1885"/>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14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5351" style="width:12.7031pt;height:275.586pt;position:absolute;mso-position-horizontal-relative:page;mso-position-horizontal:absolute;margin-left:682.278pt;mso-position-vertical-relative:page;margin-top:536.334pt;" coordsize="1613,34999">
                <v:rect id="Rectangle 1884"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885"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 de 180 </w:t>
                        </w:r>
                      </w:p>
                    </w:txbxContent>
                  </v:textbox>
                </v:rect>
                <w10:wrap type="square"/>
              </v:group>
            </w:pict>
          </mc:Fallback>
        </mc:AlternateContent>
      </w:r>
      <w:r>
        <w:rPr>
          <w:rFonts w:ascii="Arial" w:eastAsia="Arial" w:hAnsi="Arial" w:cs="Arial"/>
        </w:rPr>
        <w:t xml:space="preserve"> </w:t>
      </w:r>
    </w:p>
    <w:p w:rsidR="00FA7413" w:rsidRDefault="00D712A8">
      <w:pPr>
        <w:spacing w:after="112" w:line="248" w:lineRule="auto"/>
        <w:ind w:left="355" w:right="62" w:hanging="10"/>
        <w:jc w:val="both"/>
      </w:pPr>
      <w:r>
        <w:rPr>
          <w:rFonts w:ascii="Arial" w:eastAsia="Arial" w:hAnsi="Arial" w:cs="Arial"/>
          <w:b/>
        </w:rPr>
        <w:t xml:space="preserve">“ </w:t>
      </w:r>
    </w:p>
    <w:p w:rsidR="00FA7413" w:rsidRDefault="00D712A8">
      <w:pPr>
        <w:spacing w:after="100"/>
        <w:ind w:left="360"/>
      </w:pPr>
      <w:r>
        <w:rPr>
          <w:rFonts w:ascii="Arial" w:eastAsia="Arial" w:hAnsi="Arial" w:cs="Arial"/>
          <w:b/>
        </w:rPr>
        <w:t xml:space="preserve"> </w:t>
      </w:r>
    </w:p>
    <w:p w:rsidR="00FA7413" w:rsidRDefault="00D712A8">
      <w:pPr>
        <w:spacing w:after="98"/>
        <w:ind w:left="360"/>
      </w:pPr>
      <w:r>
        <w:rPr>
          <w:rFonts w:ascii="Arial" w:eastAsia="Arial" w:hAnsi="Arial" w:cs="Arial"/>
        </w:rPr>
        <w:t xml:space="preserve"> </w:t>
      </w:r>
    </w:p>
    <w:p w:rsidR="00FA7413" w:rsidRDefault="00D712A8">
      <w:pPr>
        <w:spacing w:after="98"/>
        <w:ind w:left="360"/>
      </w:pPr>
      <w:r>
        <w:rPr>
          <w:rFonts w:ascii="Arial" w:eastAsia="Arial" w:hAnsi="Arial" w:cs="Arial"/>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 xml:space="preserve">Consta en el expediente Informe de Intervención emitido por Don Nicolás Rojo Garnica, que desempeña el puesto de trabajo de Interventor Municipal, de 16 de junio de 2021, del siguiente tenor literal: </w:t>
      </w:r>
    </w:p>
    <w:p w:rsidR="00FA7413" w:rsidRDefault="00D712A8">
      <w:pPr>
        <w:spacing w:after="0"/>
        <w:ind w:left="360"/>
      </w:pPr>
      <w:r>
        <w:rPr>
          <w:rFonts w:ascii="Arial" w:eastAsia="Arial" w:hAnsi="Arial" w:cs="Arial"/>
          <w:b/>
        </w:rPr>
        <w:t xml:space="preserve"> </w:t>
      </w:r>
    </w:p>
    <w:p w:rsidR="00FA7413" w:rsidRDefault="00D712A8">
      <w:pPr>
        <w:spacing w:after="15"/>
        <w:ind w:left="360"/>
      </w:pPr>
      <w:r>
        <w:rPr>
          <w:rFonts w:ascii="Arial" w:eastAsia="Arial" w:hAnsi="Arial" w:cs="Arial"/>
          <w:b/>
        </w:rPr>
        <w:t xml:space="preserve"> </w:t>
      </w:r>
    </w:p>
    <w:p w:rsidR="00FA7413" w:rsidRDefault="00D712A8">
      <w:pPr>
        <w:pStyle w:val="Ttulo1"/>
        <w:ind w:left="1013" w:right="716"/>
      </w:pPr>
      <w:r>
        <w:t>“INFORME</w:t>
      </w:r>
      <w:r>
        <w:rPr>
          <w:b w:val="0"/>
        </w:rPr>
        <w:t xml:space="preserve"> </w:t>
      </w:r>
    </w:p>
    <w:p w:rsidR="00FA7413" w:rsidRDefault="00D712A8">
      <w:pPr>
        <w:spacing w:after="49" w:line="248" w:lineRule="auto"/>
        <w:ind w:left="345" w:right="64" w:firstLine="708"/>
        <w:jc w:val="both"/>
      </w:pPr>
      <w:r>
        <w:rPr>
          <w:rFonts w:ascii="Arial" w:eastAsia="Arial" w:hAnsi="Arial" w:cs="Arial"/>
        </w:rPr>
        <w:t xml:space="preserve">Vista la propuesta de la Alcaldesa, </w:t>
      </w:r>
      <w:r>
        <w:rPr>
          <w:rFonts w:ascii="Arial" w:eastAsia="Arial" w:hAnsi="Arial" w:cs="Arial"/>
        </w:rPr>
        <w:t>de tramitación de modificación presupuestaria por Créditos Extraordinarios financiados con remanantes de Tesorería para Gastos Generales, que dice:</w:t>
      </w:r>
      <w:r>
        <w:rPr>
          <w:rFonts w:ascii="Times New Roman" w:eastAsia="Times New Roman" w:hAnsi="Times New Roman" w:cs="Times New Roman"/>
          <w:sz w:val="24"/>
        </w:rPr>
        <w:t xml:space="preserve"> </w:t>
      </w:r>
    </w:p>
    <w:p w:rsidR="00FA7413" w:rsidRDefault="00D712A8">
      <w:pPr>
        <w:spacing w:after="139" w:line="248" w:lineRule="auto"/>
        <w:ind w:left="345" w:right="64" w:firstLine="708"/>
        <w:jc w:val="both"/>
      </w:pPr>
      <w:r>
        <w:rPr>
          <w:rFonts w:ascii="Arial" w:eastAsia="Arial" w:hAnsi="Arial" w:cs="Arial"/>
        </w:rPr>
        <w:t xml:space="preserve"> “El Ayuntamiento de Candelaria necesita créditos extraordinarios a los consignados en su Presupuesto Gener</w:t>
      </w:r>
      <w:r>
        <w:rPr>
          <w:rFonts w:ascii="Arial" w:eastAsia="Arial" w:hAnsi="Arial" w:cs="Arial"/>
        </w:rPr>
        <w:t>al 2021 para llevar a cabo actuaciones de mejora de instalaciones e infraestructuras municipales con ocasión de la ejecución de las obras siguientes:</w:t>
      </w:r>
      <w:r>
        <w:rPr>
          <w:rFonts w:ascii="Times New Roman" w:eastAsia="Times New Roman" w:hAnsi="Times New Roman" w:cs="Times New Roman"/>
          <w:sz w:val="24"/>
        </w:rPr>
        <w:t xml:space="preserve"> </w:t>
      </w:r>
    </w:p>
    <w:p w:rsidR="00FA7413" w:rsidRDefault="00D712A8">
      <w:pPr>
        <w:numPr>
          <w:ilvl w:val="0"/>
          <w:numId w:val="5"/>
        </w:numPr>
        <w:spacing w:after="152" w:line="248" w:lineRule="auto"/>
        <w:ind w:right="64" w:hanging="358"/>
        <w:jc w:val="both"/>
      </w:pPr>
      <w:r>
        <w:rPr>
          <w:rFonts w:ascii="Arial" w:eastAsia="Arial" w:hAnsi="Arial" w:cs="Arial"/>
          <w:b/>
        </w:rPr>
        <w:t>Obra Accesibilidad CEIP Principe Felipe</w:t>
      </w:r>
      <w:r>
        <w:rPr>
          <w:rFonts w:ascii="Arial" w:eastAsia="Arial" w:hAnsi="Arial" w:cs="Arial"/>
        </w:rPr>
        <w:t>: que consisten en obras de mejora de parte del cerramiento actual</w:t>
      </w:r>
      <w:r>
        <w:rPr>
          <w:rFonts w:ascii="Arial" w:eastAsia="Arial" w:hAnsi="Arial" w:cs="Arial"/>
        </w:rPr>
        <w:t xml:space="preserve"> del C.E.I.P. Príncipe Felipe de Candelaria, que da frente a la calle Santa Ana y a un callejón, para dotar de un acceso de vehículos a su interior con el fin de mejorar su accesibilidad y a la vez para mejorar la evacuación de los alumnos y trasladar al e</w:t>
      </w:r>
      <w:r>
        <w:rPr>
          <w:rFonts w:ascii="Arial" w:eastAsia="Arial" w:hAnsi="Arial" w:cs="Arial"/>
        </w:rPr>
        <w:t>xterior el actual cuarto de bombonas de gas propano de la cocina del comedor del colegio.</w:t>
      </w:r>
      <w:r>
        <w:rPr>
          <w:rFonts w:ascii="Times New Roman" w:eastAsia="Times New Roman" w:hAnsi="Times New Roman" w:cs="Times New Roman"/>
          <w:sz w:val="24"/>
        </w:rPr>
        <w:t xml:space="preserve"> </w:t>
      </w:r>
    </w:p>
    <w:p w:rsidR="00FA7413" w:rsidRDefault="00D712A8">
      <w:pPr>
        <w:numPr>
          <w:ilvl w:val="0"/>
          <w:numId w:val="5"/>
        </w:numPr>
        <w:spacing w:after="138" w:line="248" w:lineRule="auto"/>
        <w:ind w:right="64" w:hanging="358"/>
        <w:jc w:val="both"/>
      </w:pPr>
      <w:r>
        <w:rPr>
          <w:rFonts w:ascii="Arial" w:eastAsia="Arial" w:hAnsi="Arial" w:cs="Arial"/>
          <w:b/>
        </w:rPr>
        <w:t xml:space="preserve">Obra Fugas de agua CEIP Punta Larga: </w:t>
      </w:r>
      <w:r>
        <w:rPr>
          <w:rFonts w:ascii="Arial" w:eastAsia="Arial" w:hAnsi="Arial" w:cs="Arial"/>
        </w:rPr>
        <w:t xml:space="preserve">Debido a varias roturas en las tuberías del centro en la zona infantil por estar las mismas en mal estado por su antigüedad nos </w:t>
      </w:r>
      <w:r>
        <w:rPr>
          <w:rFonts w:ascii="Arial" w:eastAsia="Arial" w:hAnsi="Arial" w:cs="Arial"/>
        </w:rPr>
        <w:t>vemos en la necesidad de realizar una obra para solucionar el problema. Las obras a realizar consisten fundamentalmente en la sustitución de la actual tubería de abastecimiento de agua potable a la zona de los cuartos de baño por la parte delantera y por l</w:t>
      </w:r>
      <w:r>
        <w:rPr>
          <w:rFonts w:ascii="Arial" w:eastAsia="Arial" w:hAnsi="Arial" w:cs="Arial"/>
        </w:rPr>
        <w:t>a parte trasera, así como en los cuartos de baño de la cancha deportiva y en las aulas sobre cancha deportiva.</w:t>
      </w:r>
      <w:r>
        <w:rPr>
          <w:rFonts w:ascii="Times New Roman" w:eastAsia="Times New Roman" w:hAnsi="Times New Roman" w:cs="Times New Roman"/>
          <w:sz w:val="24"/>
        </w:rPr>
        <w:t xml:space="preserve"> </w:t>
      </w:r>
    </w:p>
    <w:p w:rsidR="00FA7413" w:rsidRDefault="00D712A8">
      <w:pPr>
        <w:numPr>
          <w:ilvl w:val="0"/>
          <w:numId w:val="5"/>
        </w:numPr>
        <w:spacing w:after="109" w:line="248" w:lineRule="auto"/>
        <w:ind w:right="64" w:hanging="358"/>
        <w:jc w:val="both"/>
      </w:pPr>
      <w:r>
        <w:rPr>
          <w:rFonts w:ascii="Arial" w:eastAsia="Arial" w:hAnsi="Arial" w:cs="Arial"/>
          <w:b/>
        </w:rPr>
        <w:t xml:space="preserve">Obra Camino Rural los Asomaderos: </w:t>
      </w:r>
      <w:r>
        <w:rPr>
          <w:rFonts w:ascii="Arial" w:eastAsia="Arial" w:hAnsi="Arial" w:cs="Arial"/>
        </w:rPr>
        <w:t xml:space="preserve">El camino de los Asomaderos facilita el acceso a una zona agrícola en la que se enclavan explotaciones agrícolas y ganaderas en explotación actualmente y que comprende unos 150.000 me, la mejora de las condiciones del camino y las actuaciones previstas en </w:t>
      </w:r>
      <w:r>
        <w:rPr>
          <w:rFonts w:ascii="Arial" w:eastAsia="Arial" w:hAnsi="Arial" w:cs="Arial"/>
        </w:rPr>
        <w:t>éste proyecto facilitarán el acceso y puesta en explotación de parcelas colindante, incentivando de éste modo la puesta en explotación y uso de parcelas que actualmente no lo están. Resulta necesario la ejecución de la mencionada actuación en el presente e</w:t>
      </w:r>
      <w:r>
        <w:rPr>
          <w:rFonts w:ascii="Arial" w:eastAsia="Arial" w:hAnsi="Arial" w:cs="Arial"/>
        </w:rPr>
        <w:t>jercicio, que posibilite la revitalización de esta zona agraria.</w:t>
      </w:r>
      <w:r>
        <w:rPr>
          <w:rFonts w:ascii="Times New Roman" w:eastAsia="Times New Roman" w:hAnsi="Times New Roman" w:cs="Times New Roman"/>
          <w:sz w:val="24"/>
        </w:rPr>
        <w:t xml:space="preserve"> </w:t>
      </w:r>
    </w:p>
    <w:p w:rsidR="00FA7413" w:rsidRDefault="00D712A8">
      <w:pPr>
        <w:spacing w:after="153"/>
        <w:ind w:left="1068"/>
      </w:pPr>
      <w:r>
        <w:rPr>
          <w:rFonts w:ascii="Arial" w:eastAsia="Arial" w:hAnsi="Arial" w:cs="Arial"/>
        </w:rPr>
        <w:t xml:space="preserve">  </w:t>
      </w:r>
    </w:p>
    <w:p w:rsidR="00FA7413" w:rsidRDefault="00D712A8">
      <w:pPr>
        <w:spacing w:line="248" w:lineRule="auto"/>
        <w:ind w:left="345" w:right="64" w:firstLine="708"/>
        <w:jc w:val="both"/>
      </w:pPr>
      <w:r>
        <w:rPr>
          <w:rFonts w:ascii="Arial" w:eastAsia="Arial" w:hAnsi="Arial" w:cs="Arial"/>
        </w:rPr>
        <w:t xml:space="preserve">Siendo un gasto específico y determinado ante la imposibilidad de demorarlo a ejercicios posteriores, y no habiendo crédito suficiente en las aplicaciónes presupuestarias.” </w:t>
      </w:r>
    </w:p>
    <w:p w:rsidR="00FA7413" w:rsidRDefault="00D712A8">
      <w:pPr>
        <w:spacing w:after="153"/>
        <w:ind w:left="1068"/>
      </w:pPr>
      <w:r>
        <w:rPr>
          <w:noProof/>
        </w:rPr>
        <mc:AlternateContent>
          <mc:Choice Requires="wpg">
            <w:drawing>
              <wp:anchor distT="0" distB="0" distL="114300" distR="114300" simplePos="0" relativeHeight="251674624"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01037" name="Group 201037"/>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986" name="Rectangle 1986"/>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Cód. Valid</w:t>
                              </w:r>
                              <w:r>
                                <w:rPr>
                                  <w:rFonts w:ascii="Arial" w:eastAsia="Arial" w:hAnsi="Arial" w:cs="Arial"/>
                                  <w:sz w:val="12"/>
                                </w:rPr>
                                <w:t xml:space="preserve">ación: 946JAL4TJAGYNDDM76ZM7ZAYZ | Verificación: https://candelaria.sedelectronica.es/ </w:t>
                              </w:r>
                            </w:p>
                          </w:txbxContent>
                        </wps:txbx>
                        <wps:bodyPr horzOverflow="overflow" vert="horz" lIns="0" tIns="0" rIns="0" bIns="0" rtlCol="0">
                          <a:noAutofit/>
                        </wps:bodyPr>
                      </wps:wsp>
                      <wps:wsp>
                        <wps:cNvPr id="1987" name="Rectangle 1987"/>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15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1037" style="width:12.7031pt;height:275.586pt;position:absolute;mso-position-horizontal-relative:page;mso-position-horizontal:absolute;margin-left:682.278pt;mso-position-vertical-relative:page;margin-top:536.334pt;" coordsize="1613,34999">
                <v:rect id="Rectangle 1986"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987"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 de 180 </w:t>
                        </w:r>
                      </w:p>
                    </w:txbxContent>
                  </v:textbox>
                </v:rect>
                <w10:wrap type="square"/>
              </v:group>
            </w:pict>
          </mc:Fallback>
        </mc:AlternateContent>
      </w:r>
      <w:r>
        <w:rPr>
          <w:rFonts w:ascii="Arial" w:eastAsia="Arial" w:hAnsi="Arial" w:cs="Arial"/>
        </w:rPr>
        <w:t xml:space="preserve"> </w:t>
      </w:r>
    </w:p>
    <w:p w:rsidR="00FA7413" w:rsidRDefault="00D712A8">
      <w:pPr>
        <w:spacing w:after="162" w:line="248" w:lineRule="auto"/>
        <w:ind w:left="345" w:right="64" w:firstLine="708"/>
        <w:jc w:val="both"/>
      </w:pPr>
      <w:r>
        <w:rPr>
          <w:rFonts w:ascii="Arial" w:eastAsia="Arial" w:hAnsi="Arial" w:cs="Arial"/>
        </w:rPr>
        <w:t>Vista las Memorias, informes técnicos, proyectos de obra y presupuesto</w:t>
      </w:r>
      <w:r>
        <w:rPr>
          <w:rFonts w:ascii="Arial" w:eastAsia="Arial" w:hAnsi="Arial" w:cs="Arial"/>
        </w:rPr>
        <w:t>s, de las actuaciones que se quieren llevar a cabo, en la que se justifican la necesidad y urgencia de la modificación presupuestaria, requisito que se establece en la base 9ª del Presupuesto General, y siendo un gasto específico y determinado, ante la imp</w:t>
      </w:r>
      <w:r>
        <w:rPr>
          <w:rFonts w:ascii="Arial" w:eastAsia="Arial" w:hAnsi="Arial" w:cs="Arial"/>
        </w:rPr>
        <w:t xml:space="preserve">osibilidad de demorarlo a ejercicios posteriores, y no habiendo crédito suficiente en las aplicaciones presupuestarias. </w:t>
      </w:r>
    </w:p>
    <w:p w:rsidR="00FA7413" w:rsidRDefault="00D712A8">
      <w:pPr>
        <w:spacing w:after="0" w:line="248" w:lineRule="auto"/>
        <w:ind w:left="355" w:right="64" w:hanging="10"/>
        <w:jc w:val="both"/>
      </w:pPr>
      <w:r>
        <w:rPr>
          <w:rFonts w:ascii="Arial" w:eastAsia="Arial" w:hAnsi="Arial" w:cs="Arial"/>
          <w:b/>
        </w:rPr>
        <w:t xml:space="preserve">PRIMERO. </w:t>
      </w:r>
      <w:r>
        <w:rPr>
          <w:rFonts w:ascii="Arial" w:eastAsia="Arial" w:hAnsi="Arial" w:cs="Arial"/>
        </w:rPr>
        <w:t>Visto Acuerdo del Congreso de los Diputados del 20 de octubre de 2020, aprobado por mayoría absoluta, ha apreciado, por mayorí</w:t>
      </w:r>
      <w:r>
        <w:rPr>
          <w:rFonts w:ascii="Arial" w:eastAsia="Arial" w:hAnsi="Arial" w:cs="Arial"/>
        </w:rPr>
        <w:t>a absoluta de sus miembros, que se da una situación de emergencia extraordinaria que motiva la suspensión de las reglas fiscales, requisito que establece el artículo 11.3 de la LOEPSF.</w:t>
      </w:r>
      <w:r>
        <w:rPr>
          <w:rFonts w:ascii="Arial" w:eastAsia="Arial" w:hAnsi="Arial" w:cs="Arial"/>
          <w:sz w:val="24"/>
        </w:rPr>
        <w:t xml:space="preserve"> </w:t>
      </w:r>
    </w:p>
    <w:p w:rsidR="00FA7413" w:rsidRDefault="00D712A8">
      <w:pPr>
        <w:spacing w:after="0"/>
        <w:ind w:left="360"/>
      </w:pPr>
      <w:r>
        <w:rPr>
          <w:rFonts w:ascii="Arial" w:eastAsia="Arial" w:hAnsi="Arial" w:cs="Arial"/>
        </w:rPr>
        <w:t xml:space="preserve"> </w:t>
      </w:r>
    </w:p>
    <w:p w:rsidR="00FA7413" w:rsidRDefault="00D712A8">
      <w:pPr>
        <w:spacing w:after="43" w:line="248" w:lineRule="auto"/>
        <w:ind w:left="355" w:right="64" w:hanging="10"/>
        <w:jc w:val="both"/>
      </w:pPr>
      <w:r>
        <w:rPr>
          <w:rFonts w:ascii="Arial" w:eastAsia="Arial" w:hAnsi="Arial" w:cs="Arial"/>
        </w:rPr>
        <w:t xml:space="preserve"> Atendiendo al acuerdo del Consejo de Ministros de 6 de octubre de 2</w:t>
      </w:r>
      <w:r>
        <w:rPr>
          <w:rFonts w:ascii="Arial" w:eastAsia="Arial" w:hAnsi="Arial" w:cs="Arial"/>
        </w:rPr>
        <w:t xml:space="preserve">020, mediante el que se acuerda: </w:t>
      </w:r>
    </w:p>
    <w:p w:rsidR="00FA7413" w:rsidRDefault="00D712A8">
      <w:pPr>
        <w:numPr>
          <w:ilvl w:val="0"/>
          <w:numId w:val="6"/>
        </w:numPr>
        <w:spacing w:after="7" w:line="248" w:lineRule="auto"/>
        <w:ind w:right="64" w:hanging="360"/>
        <w:jc w:val="both"/>
      </w:pPr>
      <w:r>
        <w:rPr>
          <w:rFonts w:ascii="Arial" w:eastAsia="Arial" w:hAnsi="Arial" w:cs="Arial"/>
        </w:rPr>
        <w:t xml:space="preserve">“Solicitar del Congreso de los Diputados la apreciación de que en España estamos sufriendo una pandemia, lo que supone una situación de emergencia extraordinaria que se ajusta a lo dispuesto en el artículo 135.4 de la Constitución y en el artículo 11.3 de </w:t>
      </w:r>
      <w:r>
        <w:rPr>
          <w:rFonts w:ascii="Arial" w:eastAsia="Arial" w:hAnsi="Arial" w:cs="Arial"/>
        </w:rPr>
        <w:t xml:space="preserve">la Ley Orgánica de Estabilidad Presupuestaria y Sostenibilidad Financiera”.  </w:t>
      </w:r>
    </w:p>
    <w:p w:rsidR="00FA7413" w:rsidRDefault="00D712A8">
      <w:pPr>
        <w:numPr>
          <w:ilvl w:val="0"/>
          <w:numId w:val="6"/>
        </w:numPr>
        <w:spacing w:after="0" w:line="248" w:lineRule="auto"/>
        <w:ind w:right="64" w:hanging="360"/>
        <w:jc w:val="both"/>
      </w:pPr>
      <w:r>
        <w:rPr>
          <w:rFonts w:ascii="Arial" w:eastAsia="Arial" w:hAnsi="Arial" w:cs="Arial"/>
        </w:rPr>
        <w:t>“Quedan suspendidos el Acuerdo de Consejo de Ministros de 11 de febrero de 2020 por el que se adecúan los objetivos de estabilidad presupuestaria y de deuda pública para el conju</w:t>
      </w:r>
      <w:r>
        <w:rPr>
          <w:rFonts w:ascii="Arial" w:eastAsia="Arial" w:hAnsi="Arial" w:cs="Arial"/>
        </w:rPr>
        <w:t>nto de Administraciones Públicas y de cada uno de sus subsectores para el año 2020 para su remisión a las Cortes Generales, y se fija el límite de gasto no financiero del presupuesto del Estado para 2020, así como el Acuerdo de Consejo de Ministros de 11 d</w:t>
      </w:r>
      <w:r>
        <w:rPr>
          <w:rFonts w:ascii="Arial" w:eastAsia="Arial" w:hAnsi="Arial" w:cs="Arial"/>
        </w:rPr>
        <w:t>e febrero de 2020 por el que se fijan los objetivos de estabilidad presupuestaria y de deuda pública para el conjunto de Administraciones Públicas y de cada uno de sus subsectores para el período 2021-2023 para su remisión a las Cortes Generales, y el lími</w:t>
      </w:r>
      <w:r>
        <w:rPr>
          <w:rFonts w:ascii="Arial" w:eastAsia="Arial" w:hAnsi="Arial" w:cs="Arial"/>
        </w:rPr>
        <w:t xml:space="preserve">te de gasto no financiero del presupuesto del Estado para 2021.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 xml:space="preserve"> Por tanto, los objetivos de estabilidad y de deuda pública, y la regla de gasto, aprobados por el Gobierno el 11 de febrero de 2020 son inaplicables al aprobar éste su suspensión para el </w:t>
      </w:r>
      <w:r>
        <w:rPr>
          <w:rFonts w:ascii="Arial" w:eastAsia="Arial" w:hAnsi="Arial" w:cs="Arial"/>
        </w:rPr>
        <w:t xml:space="preserve">2020 y el 2021. </w:t>
      </w:r>
    </w:p>
    <w:p w:rsidR="00FA7413" w:rsidRDefault="00D712A8">
      <w:pPr>
        <w:spacing w:after="0"/>
        <w:ind w:left="1068"/>
      </w:pPr>
      <w:r>
        <w:rPr>
          <w:rFonts w:ascii="Arial" w:eastAsia="Arial" w:hAnsi="Arial" w:cs="Arial"/>
        </w:rPr>
        <w:t xml:space="preserve"> </w:t>
      </w:r>
    </w:p>
    <w:p w:rsidR="00FA7413" w:rsidRDefault="00D712A8">
      <w:pPr>
        <w:spacing w:after="0" w:line="248" w:lineRule="auto"/>
        <w:ind w:left="345" w:right="64" w:firstLine="708"/>
        <w:jc w:val="both"/>
      </w:pPr>
      <w:r>
        <w:rPr>
          <w:rFonts w:ascii="Arial" w:eastAsia="Arial" w:hAnsi="Arial" w:cs="Arial"/>
        </w:rPr>
        <w:t>La suspensión de las reglas fiscales ha supuesto que el superávit no tenga que dedicarse a amortizar deuda, aun siendo posible realizar esta amortización si la EELL lo considera. La regla del artículo 32 de la LOEPSF puede no aplicarse a</w:t>
      </w:r>
      <w:r>
        <w:rPr>
          <w:rFonts w:ascii="Arial" w:eastAsia="Arial" w:hAnsi="Arial" w:cs="Arial"/>
        </w:rPr>
        <w:t xml:space="preserve"> partir del momento en que se han suspendido las reglas fiscales, ya que estas son el fundamento de aquella regla. Regla que conecta con el objetivo de estabilidad presupuestaria y con el de deuda pública.  </w:t>
      </w:r>
    </w:p>
    <w:p w:rsidR="00FA7413" w:rsidRDefault="00D712A8">
      <w:pPr>
        <w:spacing w:after="0"/>
        <w:ind w:left="1068"/>
      </w:pPr>
      <w:r>
        <w:rPr>
          <w:rFonts w:ascii="Arial" w:eastAsia="Arial" w:hAnsi="Arial" w:cs="Arial"/>
        </w:rPr>
        <w:t xml:space="preserve"> </w:t>
      </w:r>
    </w:p>
    <w:p w:rsidR="00FA7413" w:rsidRDefault="00D712A8">
      <w:pPr>
        <w:spacing w:after="13" w:line="248" w:lineRule="auto"/>
        <w:ind w:left="355" w:right="64" w:hanging="10"/>
        <w:jc w:val="both"/>
      </w:pPr>
      <w:r>
        <w:rPr>
          <w:rFonts w:ascii="Arial" w:eastAsia="Arial" w:hAnsi="Arial" w:cs="Arial"/>
        </w:rPr>
        <w:t xml:space="preserve"> Al no ser aplicable la regla general, tampoco</w:t>
      </w:r>
      <w:r>
        <w:rPr>
          <w:rFonts w:ascii="Arial" w:eastAsia="Arial" w:hAnsi="Arial" w:cs="Arial"/>
        </w:rPr>
        <w:t xml:space="preserve"> es necesaria la regla especial de destinar el superávit a inversiones financieramente sostenibles, salvo las excepciones siguientes, o mediante norma posterior que prorrogue íntegramente la DA 6ª de la LOEPSF. </w:t>
      </w:r>
    </w:p>
    <w:p w:rsidR="00FA7413" w:rsidRDefault="00D712A8">
      <w:pPr>
        <w:spacing w:after="40"/>
        <w:ind w:left="360"/>
      </w:pPr>
      <w:r>
        <w:rPr>
          <w:rFonts w:ascii="Arial" w:eastAsia="Arial" w:hAnsi="Arial" w:cs="Arial"/>
        </w:rPr>
        <w:t xml:space="preserve"> </w:t>
      </w:r>
      <w:r>
        <w:rPr>
          <w:rFonts w:ascii="Arial" w:eastAsia="Arial" w:hAnsi="Arial" w:cs="Arial"/>
        </w:rPr>
        <w:tab/>
      </w:r>
      <w:r>
        <w:rPr>
          <w:rFonts w:ascii="Times New Roman" w:eastAsia="Times New Roman" w:hAnsi="Times New Roman" w:cs="Times New Roman"/>
          <w:sz w:val="24"/>
        </w:rPr>
        <w:t xml:space="preserve"> </w:t>
      </w:r>
    </w:p>
    <w:p w:rsidR="00FA7413" w:rsidRDefault="00D712A8">
      <w:pPr>
        <w:spacing w:after="30" w:line="248" w:lineRule="auto"/>
        <w:ind w:left="355" w:right="64" w:hanging="10"/>
        <w:jc w:val="both"/>
      </w:pPr>
      <w:r>
        <w:rPr>
          <w:rFonts w:ascii="Arial" w:eastAsia="Arial" w:hAnsi="Arial" w:cs="Arial"/>
          <w:b/>
        </w:rPr>
        <w:t>SEGUNDO</w:t>
      </w:r>
      <w:r>
        <w:rPr>
          <w:rFonts w:ascii="Arial" w:eastAsia="Arial" w:hAnsi="Arial" w:cs="Arial"/>
        </w:rPr>
        <w:t xml:space="preserve">. La legislación aplicable es la </w:t>
      </w:r>
      <w:r>
        <w:rPr>
          <w:rFonts w:ascii="Arial" w:eastAsia="Arial" w:hAnsi="Arial" w:cs="Arial"/>
        </w:rPr>
        <w:t>siguiente:</w:t>
      </w:r>
      <w:r>
        <w:rPr>
          <w:rFonts w:ascii="Times New Roman" w:eastAsia="Times New Roman" w:hAnsi="Times New Roman" w:cs="Times New Roman"/>
          <w:sz w:val="24"/>
        </w:rPr>
        <w:t xml:space="preserve"> </w:t>
      </w:r>
    </w:p>
    <w:p w:rsidR="00FA7413" w:rsidRDefault="00D712A8">
      <w:pPr>
        <w:numPr>
          <w:ilvl w:val="0"/>
          <w:numId w:val="7"/>
        </w:numPr>
        <w:spacing w:after="45" w:line="253" w:lineRule="auto"/>
        <w:ind w:right="64" w:hanging="360"/>
        <w:jc w:val="both"/>
      </w:pPr>
      <w:r>
        <w:rPr>
          <w:rFonts w:ascii="Arial" w:eastAsia="Arial" w:hAnsi="Arial" w:cs="Arial"/>
        </w:rPr>
        <w:t xml:space="preserve">Los artículos 169, 170 y 172 a 177 del Real Decreto Legislativo 2/2004, de 5 de marzo, por el que se aprueba el Texto Refundido de la Ley Reguladora de las Haciendas Locales.  </w:t>
      </w:r>
    </w:p>
    <w:p w:rsidR="00FA7413" w:rsidRDefault="00D712A8">
      <w:pPr>
        <w:numPr>
          <w:ilvl w:val="0"/>
          <w:numId w:val="7"/>
        </w:numPr>
        <w:spacing w:after="57" w:line="241" w:lineRule="auto"/>
        <w:ind w:right="64" w:hanging="360"/>
        <w:jc w:val="both"/>
      </w:pPr>
      <w:r>
        <w:rPr>
          <w:rFonts w:ascii="Arial" w:eastAsia="Arial" w:hAnsi="Arial" w:cs="Arial"/>
        </w:rPr>
        <w:t xml:space="preserve">Los artículos 34 a 38 del Real Decreto 500/1990, de 20 de abril, por el que se desarrolla el Capítulo I, del Título VI, de la Ley 39/1988, de 28 de diciembre, Reguladora de las Haciendas Locales, en materia de presupuestos. </w:t>
      </w:r>
    </w:p>
    <w:p w:rsidR="00FA7413" w:rsidRDefault="00D712A8">
      <w:pPr>
        <w:numPr>
          <w:ilvl w:val="0"/>
          <w:numId w:val="7"/>
        </w:numPr>
        <w:spacing w:after="51" w:line="248" w:lineRule="auto"/>
        <w:ind w:right="64" w:hanging="360"/>
        <w:jc w:val="both"/>
      </w:pPr>
      <w:r>
        <w:rPr>
          <w:noProof/>
        </w:rPr>
        <mc:AlternateContent>
          <mc:Choice Requires="wpg">
            <w:drawing>
              <wp:anchor distT="0" distB="0" distL="114300" distR="114300" simplePos="0" relativeHeight="251675648"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196175" name="Group 196175"/>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2111" name="Rectangle 2111"/>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2112" name="Rectangle 2112"/>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16 de 180 </w:t>
                              </w:r>
                            </w:p>
                          </w:txbxContent>
                        </wps:txbx>
                        <wps:bodyPr horzOverflow="overflow" vert="horz" lIns="0" tIns="0" rIns="0" bIns="0" rtlCol="0">
                          <a:noAutofit/>
                        </wps:bodyPr>
                      </wps:wsp>
                    </wpg:wgp>
                  </a:graphicData>
                </a:graphic>
              </wp:anchor>
            </w:drawing>
          </mc:Choice>
          <mc:Fallback xmlns:a="http://schemas.openxmlformats.org/drawingml/2006/main">
            <w:pict>
              <v:group id="Group 196175" style="width:12.7031pt;height:275.586pt;position:absolute;mso-position-horizontal-relative:page;mso-position-horizontal:absolute;margin-left:682.278pt;mso-position-vertical-relative:page;margin-top:536.334pt;" coordsize="1613,34999">
                <v:rect id="Rectangle 2111"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2112"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 de 180 </w:t>
                        </w:r>
                      </w:p>
                    </w:txbxContent>
                  </v:textbox>
                </v:rect>
                <w10:wrap type="square"/>
              </v:group>
            </w:pict>
          </mc:Fallback>
        </mc:AlternateContent>
      </w:r>
      <w:r>
        <w:rPr>
          <w:rFonts w:ascii="Arial" w:eastAsia="Arial" w:hAnsi="Arial" w:cs="Arial"/>
        </w:rPr>
        <w:t>Los artículos 3, 4, 11, 12, 13, 21, 23 y 32 de la Ley Orgánica</w:t>
      </w:r>
      <w:r>
        <w:rPr>
          <w:rFonts w:ascii="Arial" w:eastAsia="Arial" w:hAnsi="Arial" w:cs="Arial"/>
        </w:rPr>
        <w:t xml:space="preserve"> 2/2012, de 27 de abril, de Estabilidad Presupuestaria y Sostenibilidad Financiera.  </w:t>
      </w:r>
    </w:p>
    <w:p w:rsidR="00FA7413" w:rsidRDefault="00D712A8">
      <w:pPr>
        <w:numPr>
          <w:ilvl w:val="0"/>
          <w:numId w:val="7"/>
        </w:numPr>
        <w:spacing w:after="51" w:line="248" w:lineRule="auto"/>
        <w:ind w:right="64" w:hanging="360"/>
        <w:jc w:val="both"/>
      </w:pPr>
      <w:r>
        <w:rPr>
          <w:rFonts w:ascii="Arial" w:eastAsia="Arial" w:hAnsi="Arial" w:cs="Arial"/>
        </w:rPr>
        <w:t>El artículo 16.2 del Real Decreto 1463/2007, de 2 de noviembre, por el que se aprueba el Reglamento de Desarrollo de la Ley 18/2001, de 12 de noviembre, de Estabilidad Pr</w:t>
      </w:r>
      <w:r>
        <w:rPr>
          <w:rFonts w:ascii="Arial" w:eastAsia="Arial" w:hAnsi="Arial" w:cs="Arial"/>
        </w:rPr>
        <w:t xml:space="preserve">esupuestaria, en su Aplicación a las Entidades Locales. </w:t>
      </w:r>
    </w:p>
    <w:p w:rsidR="00FA7413" w:rsidRDefault="00D712A8">
      <w:pPr>
        <w:numPr>
          <w:ilvl w:val="0"/>
          <w:numId w:val="7"/>
        </w:numPr>
        <w:spacing w:after="51" w:line="248" w:lineRule="auto"/>
        <w:ind w:right="64" w:hanging="360"/>
        <w:jc w:val="both"/>
      </w:pPr>
      <w:r>
        <w:rPr>
          <w:rFonts w:ascii="Arial" w:eastAsia="Arial" w:hAnsi="Arial" w:cs="Arial"/>
        </w:rPr>
        <w:t xml:space="preserve">El artículo 22.2.e) de la Ley 7/1985, de 2 de abril, Reguladora de las Bases del Régimen Local. </w:t>
      </w:r>
    </w:p>
    <w:p w:rsidR="00FA7413" w:rsidRDefault="00D712A8">
      <w:pPr>
        <w:numPr>
          <w:ilvl w:val="0"/>
          <w:numId w:val="7"/>
        </w:numPr>
        <w:spacing w:after="109" w:line="248" w:lineRule="auto"/>
        <w:ind w:right="64" w:hanging="360"/>
        <w:jc w:val="both"/>
      </w:pPr>
      <w:r>
        <w:rPr>
          <w:rFonts w:ascii="Arial" w:eastAsia="Arial" w:hAnsi="Arial" w:cs="Arial"/>
        </w:rPr>
        <w:t xml:space="preserve">La Disposición Adicional 6.ª de la Ley Orgánica 2/2012, de 27 de abril, de Estabilidad Presupuestaria </w:t>
      </w:r>
      <w:r>
        <w:rPr>
          <w:rFonts w:ascii="Arial" w:eastAsia="Arial" w:hAnsi="Arial" w:cs="Arial"/>
        </w:rPr>
        <w:t xml:space="preserve">y Sostenibilidad Financiera. </w:t>
      </w:r>
    </w:p>
    <w:p w:rsidR="00FA7413" w:rsidRDefault="00D712A8">
      <w:pPr>
        <w:numPr>
          <w:ilvl w:val="0"/>
          <w:numId w:val="7"/>
        </w:numPr>
        <w:spacing w:after="35" w:line="248" w:lineRule="auto"/>
        <w:ind w:right="64" w:hanging="360"/>
        <w:jc w:val="both"/>
      </w:pPr>
      <w:r>
        <w:rPr>
          <w:rFonts w:ascii="Arial" w:eastAsia="Arial" w:hAnsi="Arial" w:cs="Arial"/>
        </w:rPr>
        <w:t>La Orden EHA/3565/2008, de 3 de diciembre, por la que se aprueba la estructura de presupuestos de las entidades locales. - Resolución de 14 de septiembre de 2009, de la Dirección General de Coordinación Financiera con las Comu</w:t>
      </w:r>
      <w:r>
        <w:rPr>
          <w:rFonts w:ascii="Arial" w:eastAsia="Arial" w:hAnsi="Arial" w:cs="Arial"/>
        </w:rPr>
        <w:t>nidades Autónomas y con las Entidades Locales, por la que se Dictan Medidas para el Desarrollo de la Orden EHA/3565/2008, de 3 de diciembre, por la que se Aprueba la Estructura de los Presupuestos de las Entidades Locales</w:t>
      </w:r>
      <w:r>
        <w:rPr>
          <w:rFonts w:ascii="Arial" w:eastAsia="Arial" w:hAnsi="Arial" w:cs="Arial"/>
          <w:b/>
        </w:rPr>
        <w:t>.</w:t>
      </w:r>
      <w:r>
        <w:rPr>
          <w:rFonts w:ascii="Times New Roman" w:eastAsia="Times New Roman" w:hAnsi="Times New Roman" w:cs="Times New Roman"/>
          <w:sz w:val="24"/>
        </w:rPr>
        <w:t xml:space="preserve"> </w:t>
      </w:r>
    </w:p>
    <w:p w:rsidR="00FA7413" w:rsidRDefault="00D712A8">
      <w:pPr>
        <w:numPr>
          <w:ilvl w:val="0"/>
          <w:numId w:val="7"/>
        </w:numPr>
        <w:spacing w:after="51" w:line="248" w:lineRule="auto"/>
        <w:ind w:right="64" w:hanging="360"/>
        <w:jc w:val="both"/>
      </w:pPr>
      <w:r>
        <w:rPr>
          <w:rFonts w:ascii="Arial" w:eastAsia="Arial" w:hAnsi="Arial" w:cs="Arial"/>
        </w:rPr>
        <w:t>La Disposición Adicional 16.ª de</w:t>
      </w:r>
      <w:r>
        <w:rPr>
          <w:rFonts w:ascii="Arial" w:eastAsia="Arial" w:hAnsi="Arial" w:cs="Arial"/>
        </w:rPr>
        <w:t xml:space="preserve">l Texto Refundido de la Ley Reguladora de las Haciendas Locales.  </w:t>
      </w:r>
    </w:p>
    <w:p w:rsidR="00FA7413" w:rsidRDefault="00D712A8">
      <w:pPr>
        <w:numPr>
          <w:ilvl w:val="0"/>
          <w:numId w:val="7"/>
        </w:numPr>
        <w:spacing w:after="11" w:line="248" w:lineRule="auto"/>
        <w:ind w:right="64" w:hanging="360"/>
        <w:jc w:val="both"/>
      </w:pPr>
      <w:r>
        <w:rPr>
          <w:rFonts w:ascii="Arial" w:eastAsia="Arial" w:hAnsi="Arial" w:cs="Arial"/>
        </w:rPr>
        <w:t xml:space="preserve">Acuerdo del Congreso de los Diputados del 13 de octubre de 2020, relativo al Objetivo de </w:t>
      </w:r>
    </w:p>
    <w:p w:rsidR="00FA7413" w:rsidRDefault="00D712A8">
      <w:pPr>
        <w:spacing w:after="109" w:line="248" w:lineRule="auto"/>
        <w:ind w:left="1090" w:right="64" w:hanging="10"/>
        <w:jc w:val="both"/>
      </w:pPr>
      <w:r>
        <w:rPr>
          <w:rFonts w:ascii="Arial" w:eastAsia="Arial" w:hAnsi="Arial" w:cs="Arial"/>
        </w:rPr>
        <w:t>Estabilidad Presupuestaria, según acuerdo del Consejo de Ministros de 6 de octubre de 2020 de “Someter a la deliberación del Pleno, a los efectos previstos en los artículos 135.4 de la Constitución y 11.3 de la Ley Orgánica 2/2012, de 27 de abril, de Estab</w:t>
      </w:r>
      <w:r>
        <w:rPr>
          <w:rFonts w:ascii="Arial" w:eastAsia="Arial" w:hAnsi="Arial" w:cs="Arial"/>
        </w:rPr>
        <w:t xml:space="preserve">ilidad Presupuestaria y Sostenibilidad Financiera y publicar en el Boletín Oficial de las Cortes Generales.”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b/>
        </w:rPr>
        <w:t>TERCERO</w:t>
      </w:r>
      <w:r>
        <w:rPr>
          <w:rFonts w:ascii="Arial" w:eastAsia="Arial" w:hAnsi="Arial" w:cs="Arial"/>
        </w:rPr>
        <w:t>: Considerando que el artículo 177 del Real Decreto Legislativo 2/2004, de 5 de marzo, por el que se aprueba el texto refundido de la Ley</w:t>
      </w:r>
      <w:r>
        <w:rPr>
          <w:rFonts w:ascii="Arial" w:eastAsia="Arial" w:hAnsi="Arial" w:cs="Arial"/>
        </w:rPr>
        <w:t xml:space="preserve"> Reguladora de las Haciendas Locales, regula los expedientes de modificación presupuestaria mediante créditos extraordinarios y suplementos de crédito, al señalar que:</w:t>
      </w:r>
      <w:r>
        <w:rPr>
          <w:rFonts w:ascii="Times New Roman" w:eastAsia="Times New Roman" w:hAnsi="Times New Roman" w:cs="Times New Roman"/>
          <w:sz w:val="24"/>
        </w:rPr>
        <w:t xml:space="preserve"> </w:t>
      </w:r>
    </w:p>
    <w:p w:rsidR="00FA7413" w:rsidRDefault="00D712A8">
      <w:pPr>
        <w:numPr>
          <w:ilvl w:val="0"/>
          <w:numId w:val="8"/>
        </w:numPr>
        <w:spacing w:after="9" w:line="248" w:lineRule="auto"/>
        <w:ind w:right="64" w:hanging="360"/>
        <w:jc w:val="both"/>
      </w:pPr>
      <w:r>
        <w:rPr>
          <w:rFonts w:ascii="Arial" w:eastAsia="Arial" w:hAnsi="Arial" w:cs="Arial"/>
        </w:rPr>
        <w:t>Cuando haya de realizarse algún gasto que no pueda demorarse hasta el ejercicio siguien</w:t>
      </w:r>
      <w:r>
        <w:rPr>
          <w:rFonts w:ascii="Arial" w:eastAsia="Arial" w:hAnsi="Arial" w:cs="Arial"/>
        </w:rPr>
        <w:t xml:space="preserve">te, y sea insuficiente en el presupuesto de la corporación el crédito consignado, el presidente de la corporación ordenará la incoación del expediente de suplemento de crédito.  </w:t>
      </w:r>
    </w:p>
    <w:p w:rsidR="00FA7413" w:rsidRDefault="00D712A8">
      <w:pPr>
        <w:numPr>
          <w:ilvl w:val="0"/>
          <w:numId w:val="8"/>
        </w:numPr>
        <w:spacing w:after="6" w:line="248" w:lineRule="auto"/>
        <w:ind w:right="64" w:hanging="360"/>
        <w:jc w:val="both"/>
      </w:pPr>
      <w:r>
        <w:rPr>
          <w:rFonts w:ascii="Arial" w:eastAsia="Arial" w:hAnsi="Arial" w:cs="Arial"/>
        </w:rPr>
        <w:t>El expediente, que habrá de ser previamente informado por la Intervención, se</w:t>
      </w:r>
      <w:r>
        <w:rPr>
          <w:rFonts w:ascii="Arial" w:eastAsia="Arial" w:hAnsi="Arial" w:cs="Arial"/>
        </w:rPr>
        <w:t xml:space="preserve"> someterá a la aprobación del Pleno de la corporación, con sujeción a los mismos trámites y requisitos que los presupuestos. Serán, asimismo, de aplicación, las normas sobre información, reclamación y publicidad de los presupuestos a que se refiere el artí</w:t>
      </w:r>
      <w:r>
        <w:rPr>
          <w:rFonts w:ascii="Arial" w:eastAsia="Arial" w:hAnsi="Arial" w:cs="Arial"/>
        </w:rPr>
        <w:t xml:space="preserve">culo 169 de esta ley.  </w:t>
      </w:r>
    </w:p>
    <w:p w:rsidR="00FA7413" w:rsidRDefault="00D712A8">
      <w:pPr>
        <w:numPr>
          <w:ilvl w:val="0"/>
          <w:numId w:val="8"/>
        </w:numPr>
        <w:spacing w:after="41" w:line="248" w:lineRule="auto"/>
        <w:ind w:right="64" w:hanging="360"/>
        <w:jc w:val="both"/>
      </w:pPr>
      <w:r>
        <w:rPr>
          <w:rFonts w:ascii="Arial" w:eastAsia="Arial" w:hAnsi="Arial" w:cs="Arial"/>
        </w:rPr>
        <w:t xml:space="preserve">El expediente deberá especificar la concreta partida presupuestaria a incrementar y el medio o recurso que ha de financiar el aumento que se propone. </w:t>
      </w:r>
    </w:p>
    <w:p w:rsidR="00FA7413" w:rsidRDefault="00D712A8">
      <w:pPr>
        <w:numPr>
          <w:ilvl w:val="0"/>
          <w:numId w:val="8"/>
        </w:numPr>
        <w:spacing w:after="0" w:line="248" w:lineRule="auto"/>
        <w:ind w:right="64" w:hanging="360"/>
        <w:jc w:val="both"/>
      </w:pPr>
      <w:r>
        <w:rPr>
          <w:rFonts w:ascii="Arial" w:eastAsia="Arial" w:hAnsi="Arial" w:cs="Arial"/>
        </w:rPr>
        <w:t>Dicho aumento se financiará con cargo al remanente líquido de tesorería, con nuev</w:t>
      </w:r>
      <w:r>
        <w:rPr>
          <w:rFonts w:ascii="Arial" w:eastAsia="Arial" w:hAnsi="Arial" w:cs="Arial"/>
        </w:rPr>
        <w:t>os o mayores ingresos recaudados sobre los totales previstos en el presupuesto corriente, y mediante anulaciones o bajas de créditos de gastos de otras partidas del presupuesto vigente no comprometidos, cuyas dotaciones se estimen reducibles sin perturbaci</w:t>
      </w:r>
      <w:r>
        <w:rPr>
          <w:rFonts w:ascii="Arial" w:eastAsia="Arial" w:hAnsi="Arial" w:cs="Arial"/>
        </w:rPr>
        <w:t xml:space="preserve">ón del respectivo servicio. En el expediente se acreditará que los ingresos previstos en el presupuesto vengan efectuándose con normalidad, salvo que aquéllos tengan carácter finalista. </w:t>
      </w:r>
      <w:r>
        <w:rPr>
          <w:rFonts w:ascii="Times New Roman" w:eastAsia="Times New Roman" w:hAnsi="Times New Roman" w:cs="Times New Roman"/>
          <w:sz w:val="24"/>
        </w:rPr>
        <w:t xml:space="preserve">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64" w:hanging="10"/>
        <w:jc w:val="both"/>
      </w:pPr>
      <w:r>
        <w:rPr>
          <w:noProof/>
        </w:rPr>
        <mc:AlternateContent>
          <mc:Choice Requires="wpg">
            <w:drawing>
              <wp:anchor distT="0" distB="0" distL="114300" distR="114300" simplePos="0" relativeHeight="251676672"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199682" name="Group 199682"/>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2441" name="Rectangle 2441"/>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2442" name="Rectangle 2442"/>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17 de 180 </w:t>
                              </w:r>
                            </w:p>
                          </w:txbxContent>
                        </wps:txbx>
                        <wps:bodyPr horzOverflow="overflow" vert="horz" lIns="0" tIns="0" rIns="0" bIns="0" rtlCol="0">
                          <a:noAutofit/>
                        </wps:bodyPr>
                      </wps:wsp>
                    </wpg:wgp>
                  </a:graphicData>
                </a:graphic>
              </wp:anchor>
            </w:drawing>
          </mc:Choice>
          <mc:Fallback xmlns:a="http://schemas.openxmlformats.org/drawingml/2006/main">
            <w:pict>
              <v:group id="Group 199682" style="width:12.7031pt;height:275.586pt;position:absolute;mso-position-horizontal-relative:page;mso-position-horizontal:absolute;margin-left:682.278pt;mso-position-vertical-relative:page;margin-top:536.334pt;" coordsize="1613,34999">
                <v:rect id="Rectangle 2441"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2442"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 de 180 </w:t>
                        </w:r>
                      </w:p>
                    </w:txbxContent>
                  </v:textbox>
                </v:rect>
                <w10:wrap type="square"/>
              </v:group>
            </w:pict>
          </mc:Fallback>
        </mc:AlternateContent>
      </w:r>
      <w:r>
        <w:rPr>
          <w:rFonts w:ascii="Arial" w:eastAsia="Arial" w:hAnsi="Arial" w:cs="Arial"/>
          <w:b/>
        </w:rPr>
        <w:t>CUARTO:</w:t>
      </w:r>
      <w:r>
        <w:rPr>
          <w:rFonts w:ascii="Arial" w:eastAsia="Arial" w:hAnsi="Arial" w:cs="Arial"/>
        </w:rPr>
        <w:t xml:space="preserve"> Vista la Liquidación del Presupuesto general 2020, apr</w:t>
      </w:r>
      <w:r>
        <w:rPr>
          <w:rFonts w:ascii="Arial" w:eastAsia="Arial" w:hAnsi="Arial" w:cs="Arial"/>
        </w:rPr>
        <w:t>obada por decreto 671/2021 de 15/03/2021, donde se aprueba un Remanente de Tesorería para gastos Generales (RTGG) por un importe de 16.083.205,94€. Y vistos los expedientes de modificación presupuestaria financiados con el Remanente de Tesorería para gasto</w:t>
      </w:r>
      <w:r>
        <w:rPr>
          <w:rFonts w:ascii="Arial" w:eastAsia="Arial" w:hAnsi="Arial" w:cs="Arial"/>
        </w:rPr>
        <w:t>s Generales (RTGG) siguientes:</w:t>
      </w:r>
      <w:r>
        <w:rPr>
          <w:rFonts w:ascii="Times New Roman" w:eastAsia="Times New Roman" w:hAnsi="Times New Roman" w:cs="Times New Roman"/>
          <w:sz w:val="24"/>
        </w:rPr>
        <w:t xml:space="preserve"> </w:t>
      </w:r>
    </w:p>
    <w:p w:rsidR="00FA7413" w:rsidRDefault="00D712A8">
      <w:pPr>
        <w:spacing w:after="4"/>
        <w:ind w:left="360"/>
      </w:pPr>
      <w:r>
        <w:rPr>
          <w:rFonts w:ascii="Arial" w:eastAsia="Arial" w:hAnsi="Arial" w:cs="Arial"/>
        </w:rPr>
        <w:t xml:space="preserve"> </w:t>
      </w:r>
    </w:p>
    <w:p w:rsidR="00FA7413" w:rsidRDefault="00D712A8">
      <w:pPr>
        <w:numPr>
          <w:ilvl w:val="0"/>
          <w:numId w:val="9"/>
        </w:numPr>
        <w:spacing w:after="33" w:line="248" w:lineRule="auto"/>
        <w:ind w:right="64" w:hanging="360"/>
        <w:jc w:val="both"/>
      </w:pPr>
      <w:r>
        <w:rPr>
          <w:rFonts w:ascii="Arial" w:eastAsia="Arial" w:hAnsi="Arial" w:cs="Arial"/>
        </w:rPr>
        <w:t xml:space="preserve">Exp.613/2021 de Incorporación de créditos: 1.743.156,11€. </w:t>
      </w:r>
    </w:p>
    <w:p w:rsidR="00FA7413" w:rsidRDefault="00D712A8">
      <w:pPr>
        <w:numPr>
          <w:ilvl w:val="0"/>
          <w:numId w:val="9"/>
        </w:numPr>
        <w:spacing w:after="36" w:line="248" w:lineRule="auto"/>
        <w:ind w:right="64" w:hanging="360"/>
        <w:jc w:val="both"/>
      </w:pPr>
      <w:r>
        <w:rPr>
          <w:rFonts w:ascii="Arial" w:eastAsia="Arial" w:hAnsi="Arial" w:cs="Arial"/>
        </w:rPr>
        <w:t xml:space="preserve">Exp.2688/2021 de Créditos Extraordinarios: 4.034.835,71€. </w:t>
      </w:r>
    </w:p>
    <w:p w:rsidR="00FA7413" w:rsidRDefault="00D712A8">
      <w:pPr>
        <w:numPr>
          <w:ilvl w:val="0"/>
          <w:numId w:val="9"/>
        </w:numPr>
        <w:spacing w:after="11" w:line="248" w:lineRule="auto"/>
        <w:ind w:right="64" w:hanging="360"/>
        <w:jc w:val="both"/>
      </w:pPr>
      <w:r>
        <w:rPr>
          <w:rFonts w:ascii="Arial" w:eastAsia="Arial" w:hAnsi="Arial" w:cs="Arial"/>
        </w:rPr>
        <w:t xml:space="preserve">Exp.3519/2021 de Suplementos de Créditos:  471.000,63€. </w:t>
      </w:r>
    </w:p>
    <w:p w:rsidR="00FA7413" w:rsidRDefault="00D712A8">
      <w:pPr>
        <w:spacing w:after="0"/>
        <w:ind w:left="108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 xml:space="preserve"> El importe de Remanente de Tesorería para ga</w:t>
      </w:r>
      <w:r>
        <w:rPr>
          <w:rFonts w:ascii="Arial" w:eastAsia="Arial" w:hAnsi="Arial" w:cs="Arial"/>
        </w:rPr>
        <w:t xml:space="preserve">stos Generales (RTGG) disponible asciende a 9.834.213,49€.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64" w:hanging="10"/>
        <w:jc w:val="both"/>
      </w:pPr>
      <w:r>
        <w:rPr>
          <w:rFonts w:ascii="Arial" w:eastAsia="Arial" w:hAnsi="Arial" w:cs="Arial"/>
          <w:b/>
        </w:rPr>
        <w:t>QUINTO:</w:t>
      </w:r>
      <w:r>
        <w:rPr>
          <w:rFonts w:ascii="Arial" w:eastAsia="Arial" w:hAnsi="Arial" w:cs="Arial"/>
        </w:rPr>
        <w:t xml:space="preserve"> Que el expediente de modificación presupuestaria nº 5897/2021, por Créditos Extraordinarios financiado con remanente de tesorería para gastos generales, se realizará por la cantidad de</w:t>
      </w:r>
      <w:r>
        <w:rPr>
          <w:rFonts w:ascii="Arial" w:eastAsia="Arial" w:hAnsi="Arial" w:cs="Arial"/>
          <w:b/>
        </w:rPr>
        <w:t xml:space="preserve"> 4</w:t>
      </w:r>
      <w:r>
        <w:rPr>
          <w:rFonts w:ascii="Arial" w:eastAsia="Arial" w:hAnsi="Arial" w:cs="Arial"/>
          <w:b/>
        </w:rPr>
        <w:t>96.821,47 Euros</w:t>
      </w:r>
      <w:r>
        <w:rPr>
          <w:rFonts w:ascii="Arial" w:eastAsia="Arial" w:hAnsi="Arial" w:cs="Arial"/>
        </w:rPr>
        <w:t>, según el siguiente detalle:</w:t>
      </w:r>
      <w:r>
        <w:rPr>
          <w:rFonts w:ascii="Times New Roman" w:eastAsia="Times New Roman" w:hAnsi="Times New Roman" w:cs="Times New Roman"/>
          <w:sz w:val="24"/>
        </w:rPr>
        <w:t xml:space="preserve"> </w:t>
      </w:r>
    </w:p>
    <w:p w:rsidR="00FA7413" w:rsidRDefault="00D712A8">
      <w:pPr>
        <w:spacing w:after="0"/>
        <w:ind w:left="360"/>
      </w:pPr>
      <w:r>
        <w:rPr>
          <w:rFonts w:ascii="Arial" w:eastAsia="Arial" w:hAnsi="Arial" w:cs="Arial"/>
        </w:rPr>
        <w:t xml:space="preserve"> </w:t>
      </w:r>
    </w:p>
    <w:p w:rsidR="00FA7413" w:rsidRDefault="00D712A8">
      <w:pPr>
        <w:tabs>
          <w:tab w:val="center" w:pos="500"/>
          <w:tab w:val="center" w:pos="1925"/>
          <w:tab w:val="center" w:pos="5511"/>
          <w:tab w:val="center" w:pos="8702"/>
        </w:tabs>
        <w:spacing w:after="11" w:line="248" w:lineRule="auto"/>
      </w:pPr>
      <w:r>
        <w:tab/>
      </w:r>
      <w:r>
        <w:rPr>
          <w:rFonts w:ascii="Arial" w:eastAsia="Arial" w:hAnsi="Arial" w:cs="Arial"/>
        </w:rPr>
        <w:t xml:space="preserve"> </w:t>
      </w:r>
      <w:r>
        <w:rPr>
          <w:rFonts w:ascii="Arial" w:eastAsia="Arial" w:hAnsi="Arial" w:cs="Arial"/>
        </w:rPr>
        <w:tab/>
        <w:t xml:space="preserve"> </w:t>
      </w:r>
      <w:r>
        <w:rPr>
          <w:rFonts w:ascii="Arial" w:eastAsia="Arial" w:hAnsi="Arial" w:cs="Arial"/>
        </w:rPr>
        <w:tab/>
      </w:r>
      <w:r>
        <w:rPr>
          <w:rFonts w:ascii="Arial" w:eastAsia="Arial" w:hAnsi="Arial" w:cs="Arial"/>
          <w:b/>
        </w:rPr>
        <w:t xml:space="preserve">Estado de Gastos  </w:t>
      </w:r>
      <w:r>
        <w:rPr>
          <w:rFonts w:ascii="Arial" w:eastAsia="Arial" w:hAnsi="Arial" w:cs="Arial"/>
          <w:b/>
        </w:rPr>
        <w:tab/>
        <w:t xml:space="preserve"> </w:t>
      </w:r>
    </w:p>
    <w:tbl>
      <w:tblPr>
        <w:tblStyle w:val="TableGrid"/>
        <w:tblW w:w="8891" w:type="dxa"/>
        <w:tblInd w:w="431" w:type="dxa"/>
        <w:tblCellMar>
          <w:top w:w="5" w:type="dxa"/>
          <w:left w:w="68" w:type="dxa"/>
          <w:bottom w:w="6" w:type="dxa"/>
          <w:right w:w="7" w:type="dxa"/>
        </w:tblCellMar>
        <w:tblLook w:val="04A0" w:firstRow="1" w:lastRow="0" w:firstColumn="1" w:lastColumn="0" w:noHBand="0" w:noVBand="1"/>
      </w:tblPr>
      <w:tblGrid>
        <w:gridCol w:w="1423"/>
        <w:gridCol w:w="1082"/>
        <w:gridCol w:w="5143"/>
        <w:gridCol w:w="1243"/>
      </w:tblGrid>
      <w:tr w:rsidR="00FA7413">
        <w:trPr>
          <w:trHeight w:val="514"/>
        </w:trPr>
        <w:tc>
          <w:tcPr>
            <w:tcW w:w="1423"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FA7413" w:rsidRDefault="00D712A8">
            <w:pPr>
              <w:spacing w:after="0"/>
              <w:ind w:left="84"/>
            </w:pPr>
            <w:r>
              <w:rPr>
                <w:rFonts w:ascii="Arial" w:eastAsia="Arial" w:hAnsi="Arial" w:cs="Arial"/>
                <w:b/>
              </w:rPr>
              <w:t xml:space="preserve">Aplicación </w:t>
            </w:r>
          </w:p>
        </w:tc>
        <w:tc>
          <w:tcPr>
            <w:tcW w:w="1082"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jc w:val="center"/>
            </w:pPr>
            <w:r>
              <w:rPr>
                <w:rFonts w:ascii="Arial" w:eastAsia="Arial" w:hAnsi="Arial" w:cs="Arial"/>
                <w:b/>
              </w:rPr>
              <w:t xml:space="preserve">Proyecto gasto </w:t>
            </w:r>
          </w:p>
        </w:tc>
        <w:tc>
          <w:tcPr>
            <w:tcW w:w="5143"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FA7413" w:rsidRDefault="00D712A8">
            <w:pPr>
              <w:spacing w:after="0"/>
              <w:ind w:right="58"/>
              <w:jc w:val="center"/>
            </w:pPr>
            <w:r>
              <w:rPr>
                <w:rFonts w:ascii="Arial" w:eastAsia="Arial" w:hAnsi="Arial" w:cs="Arial"/>
                <w:b/>
              </w:rPr>
              <w:t xml:space="preserve">Denominación </w:t>
            </w:r>
          </w:p>
        </w:tc>
        <w:tc>
          <w:tcPr>
            <w:tcW w:w="1243"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FA7413" w:rsidRDefault="00D712A8">
            <w:pPr>
              <w:spacing w:after="0"/>
              <w:ind w:right="57"/>
              <w:jc w:val="center"/>
            </w:pPr>
            <w:r>
              <w:rPr>
                <w:rFonts w:ascii="Arial" w:eastAsia="Arial" w:hAnsi="Arial" w:cs="Arial"/>
                <w:b/>
              </w:rPr>
              <w:t xml:space="preserve">Importe </w:t>
            </w:r>
          </w:p>
        </w:tc>
      </w:tr>
      <w:tr w:rsidR="00FA7413">
        <w:trPr>
          <w:trHeight w:val="517"/>
        </w:trPr>
        <w:tc>
          <w:tcPr>
            <w:tcW w:w="1423" w:type="dxa"/>
            <w:tcBorders>
              <w:top w:val="single" w:sz="4" w:space="0" w:color="000000"/>
              <w:left w:val="single" w:sz="4" w:space="0" w:color="000000"/>
              <w:bottom w:val="single" w:sz="4" w:space="0" w:color="000000"/>
              <w:right w:val="single" w:sz="4" w:space="0" w:color="000000"/>
            </w:tcBorders>
            <w:vAlign w:val="bottom"/>
          </w:tcPr>
          <w:p w:rsidR="00FA7413" w:rsidRDefault="00D712A8">
            <w:pPr>
              <w:spacing w:after="0"/>
              <w:jc w:val="both"/>
            </w:pPr>
            <w:r>
              <w:rPr>
                <w:rFonts w:ascii="Arial" w:eastAsia="Arial" w:hAnsi="Arial" w:cs="Arial"/>
              </w:rPr>
              <w:t xml:space="preserve">41400.61901 </w:t>
            </w:r>
          </w:p>
        </w:tc>
        <w:tc>
          <w:tcPr>
            <w:tcW w:w="1082" w:type="dxa"/>
            <w:tcBorders>
              <w:top w:val="single" w:sz="4" w:space="0" w:color="000000"/>
              <w:left w:val="single" w:sz="4" w:space="0" w:color="000000"/>
              <w:bottom w:val="single" w:sz="4" w:space="0" w:color="000000"/>
              <w:right w:val="single" w:sz="4" w:space="0" w:color="000000"/>
            </w:tcBorders>
            <w:vAlign w:val="bottom"/>
          </w:tcPr>
          <w:p w:rsidR="00FA7413" w:rsidRDefault="00D712A8">
            <w:pPr>
              <w:spacing w:after="0"/>
              <w:ind w:left="2"/>
              <w:jc w:val="both"/>
            </w:pPr>
            <w:r>
              <w:rPr>
                <w:rFonts w:ascii="Arial" w:eastAsia="Arial" w:hAnsi="Arial" w:cs="Arial"/>
              </w:rPr>
              <w:t xml:space="preserve">P.21.2.38 </w:t>
            </w:r>
          </w:p>
        </w:tc>
        <w:tc>
          <w:tcPr>
            <w:tcW w:w="514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3"/>
            </w:pPr>
            <w:r>
              <w:rPr>
                <w:rFonts w:ascii="Arial" w:eastAsia="Arial" w:hAnsi="Arial" w:cs="Arial"/>
              </w:rPr>
              <w:t xml:space="preserve">Repavimentación tramo urbano camino rural Los Asomaderos </w:t>
            </w:r>
          </w:p>
        </w:tc>
        <w:tc>
          <w:tcPr>
            <w:tcW w:w="1243" w:type="dxa"/>
            <w:tcBorders>
              <w:top w:val="single" w:sz="4" w:space="0" w:color="000000"/>
              <w:left w:val="single" w:sz="4" w:space="0" w:color="000000"/>
              <w:bottom w:val="single" w:sz="4" w:space="0" w:color="000000"/>
              <w:right w:val="single" w:sz="4" w:space="0" w:color="000000"/>
            </w:tcBorders>
            <w:vAlign w:val="bottom"/>
          </w:tcPr>
          <w:p w:rsidR="00FA7413" w:rsidRDefault="00D712A8">
            <w:pPr>
              <w:spacing w:after="0"/>
              <w:ind w:left="4"/>
              <w:jc w:val="both"/>
            </w:pPr>
            <w:r>
              <w:rPr>
                <w:rFonts w:ascii="Arial" w:eastAsia="Arial" w:hAnsi="Arial" w:cs="Arial"/>
              </w:rPr>
              <w:t xml:space="preserve">444.816,59 </w:t>
            </w:r>
          </w:p>
        </w:tc>
      </w:tr>
      <w:tr w:rsidR="00FA7413">
        <w:trPr>
          <w:trHeight w:val="262"/>
        </w:trPr>
        <w:tc>
          <w:tcPr>
            <w:tcW w:w="1423" w:type="dxa"/>
            <w:tcBorders>
              <w:top w:val="single" w:sz="4" w:space="0" w:color="000000"/>
              <w:left w:val="single" w:sz="4" w:space="0" w:color="000000"/>
              <w:bottom w:val="single" w:sz="4" w:space="0" w:color="000000"/>
              <w:right w:val="single" w:sz="4" w:space="0" w:color="000000"/>
            </w:tcBorders>
          </w:tcPr>
          <w:p w:rsidR="00FA7413" w:rsidRDefault="00D712A8">
            <w:pPr>
              <w:spacing w:after="0"/>
              <w:jc w:val="both"/>
            </w:pPr>
            <w:r>
              <w:rPr>
                <w:rFonts w:ascii="Arial" w:eastAsia="Arial" w:hAnsi="Arial" w:cs="Arial"/>
              </w:rPr>
              <w:t xml:space="preserve">32300.21201 </w:t>
            </w:r>
          </w:p>
        </w:tc>
        <w:tc>
          <w:tcPr>
            <w:tcW w:w="108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2"/>
              <w:jc w:val="both"/>
            </w:pPr>
            <w:r>
              <w:rPr>
                <w:rFonts w:ascii="Arial" w:eastAsia="Arial" w:hAnsi="Arial" w:cs="Arial"/>
              </w:rPr>
              <w:t xml:space="preserve">P.21.2.38 </w:t>
            </w:r>
          </w:p>
        </w:tc>
        <w:tc>
          <w:tcPr>
            <w:tcW w:w="514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3"/>
            </w:pPr>
            <w:r>
              <w:rPr>
                <w:rFonts w:ascii="Arial" w:eastAsia="Arial" w:hAnsi="Arial" w:cs="Arial"/>
              </w:rPr>
              <w:t xml:space="preserve">Obras Accesibilidad CEIP Príncipe Felipe </w:t>
            </w:r>
          </w:p>
        </w:tc>
        <w:tc>
          <w:tcPr>
            <w:tcW w:w="124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126"/>
            </w:pPr>
            <w:r>
              <w:rPr>
                <w:rFonts w:ascii="Arial" w:eastAsia="Arial" w:hAnsi="Arial" w:cs="Arial"/>
              </w:rPr>
              <w:t xml:space="preserve">39.761,13 </w:t>
            </w:r>
          </w:p>
        </w:tc>
      </w:tr>
      <w:tr w:rsidR="00FA7413">
        <w:trPr>
          <w:trHeight w:val="265"/>
        </w:trPr>
        <w:tc>
          <w:tcPr>
            <w:tcW w:w="1423" w:type="dxa"/>
            <w:tcBorders>
              <w:top w:val="single" w:sz="4" w:space="0" w:color="000000"/>
              <w:left w:val="single" w:sz="4" w:space="0" w:color="000000"/>
              <w:bottom w:val="single" w:sz="4" w:space="0" w:color="000000"/>
              <w:right w:val="single" w:sz="4" w:space="0" w:color="000000"/>
            </w:tcBorders>
          </w:tcPr>
          <w:p w:rsidR="00FA7413" w:rsidRDefault="00D712A8">
            <w:pPr>
              <w:spacing w:after="0"/>
              <w:jc w:val="both"/>
            </w:pPr>
            <w:r>
              <w:rPr>
                <w:rFonts w:ascii="Arial" w:eastAsia="Arial" w:hAnsi="Arial" w:cs="Arial"/>
              </w:rPr>
              <w:t xml:space="preserve">32300.21202 </w:t>
            </w:r>
          </w:p>
        </w:tc>
        <w:tc>
          <w:tcPr>
            <w:tcW w:w="108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2"/>
              <w:jc w:val="both"/>
            </w:pPr>
            <w:r>
              <w:rPr>
                <w:rFonts w:ascii="Arial" w:eastAsia="Arial" w:hAnsi="Arial" w:cs="Arial"/>
              </w:rPr>
              <w:t xml:space="preserve">P.21.2.38 </w:t>
            </w:r>
          </w:p>
        </w:tc>
        <w:tc>
          <w:tcPr>
            <w:tcW w:w="514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3"/>
            </w:pPr>
            <w:r>
              <w:rPr>
                <w:rFonts w:ascii="Arial" w:eastAsia="Arial" w:hAnsi="Arial" w:cs="Arial"/>
              </w:rPr>
              <w:t xml:space="preserve">Obra Fugas de agua CEIP Punta Larga </w:t>
            </w:r>
          </w:p>
        </w:tc>
        <w:tc>
          <w:tcPr>
            <w:tcW w:w="124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126"/>
            </w:pPr>
            <w:r>
              <w:rPr>
                <w:rFonts w:ascii="Arial" w:eastAsia="Arial" w:hAnsi="Arial" w:cs="Arial"/>
              </w:rPr>
              <w:t xml:space="preserve">12.243,75 </w:t>
            </w:r>
          </w:p>
        </w:tc>
      </w:tr>
      <w:tr w:rsidR="00FA7413">
        <w:trPr>
          <w:trHeight w:val="262"/>
        </w:trPr>
        <w:tc>
          <w:tcPr>
            <w:tcW w:w="142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pPr>
            <w:r>
              <w:rPr>
                <w:rFonts w:ascii="Arial" w:eastAsia="Arial" w:hAnsi="Arial" w:cs="Arial"/>
                <w:b/>
              </w:rPr>
              <w:t xml:space="preserve">  </w:t>
            </w:r>
          </w:p>
        </w:tc>
        <w:tc>
          <w:tcPr>
            <w:tcW w:w="1082"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left="2"/>
              <w:jc w:val="center"/>
            </w:pPr>
            <w:r>
              <w:rPr>
                <w:rFonts w:ascii="Arial" w:eastAsia="Arial" w:hAnsi="Arial" w:cs="Arial"/>
                <w:b/>
              </w:rPr>
              <w:t xml:space="preserve">  </w:t>
            </w:r>
          </w:p>
        </w:tc>
        <w:tc>
          <w:tcPr>
            <w:tcW w:w="514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right="64"/>
              <w:jc w:val="center"/>
            </w:pPr>
            <w:r>
              <w:rPr>
                <w:rFonts w:ascii="Arial" w:eastAsia="Arial" w:hAnsi="Arial" w:cs="Arial"/>
                <w:b/>
              </w:rPr>
              <w:t xml:space="preserve">TOTAL </w:t>
            </w:r>
          </w:p>
        </w:tc>
        <w:tc>
          <w:tcPr>
            <w:tcW w:w="124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left="4"/>
              <w:jc w:val="both"/>
            </w:pPr>
            <w:r>
              <w:rPr>
                <w:rFonts w:ascii="Arial" w:eastAsia="Arial" w:hAnsi="Arial" w:cs="Arial"/>
                <w:b/>
              </w:rPr>
              <w:t>496.821,47</w:t>
            </w:r>
            <w:r>
              <w:rPr>
                <w:rFonts w:ascii="Times New Roman" w:eastAsia="Times New Roman" w:hAnsi="Times New Roman" w:cs="Times New Roman"/>
                <w:sz w:val="24"/>
              </w:rPr>
              <w:t xml:space="preserve"> </w:t>
            </w:r>
          </w:p>
        </w:tc>
      </w:tr>
    </w:tbl>
    <w:p w:rsidR="00FA7413" w:rsidRDefault="00D712A8">
      <w:pPr>
        <w:spacing w:after="11" w:line="248" w:lineRule="auto"/>
        <w:ind w:left="500" w:right="1051" w:firstLine="1284"/>
        <w:jc w:val="both"/>
      </w:pPr>
      <w:r>
        <w:rPr>
          <w:rFonts w:ascii="Arial" w:eastAsia="Arial" w:hAnsi="Arial" w:cs="Arial"/>
          <w:b/>
        </w:rPr>
        <w:t xml:space="preserve"> </w:t>
      </w: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r>
      <w:r>
        <w:rPr>
          <w:rFonts w:ascii="Arial" w:eastAsia="Arial" w:hAnsi="Arial" w:cs="Arial"/>
          <w:b/>
        </w:rPr>
        <w:t xml:space="preserve">Estado de Ingresos </w:t>
      </w:r>
      <w:r>
        <w:rPr>
          <w:rFonts w:ascii="Arial" w:eastAsia="Arial" w:hAnsi="Arial" w:cs="Arial"/>
          <w:b/>
        </w:rPr>
        <w:tab/>
        <w:t xml:space="preserve"> </w:t>
      </w:r>
    </w:p>
    <w:tbl>
      <w:tblPr>
        <w:tblStyle w:val="TableGrid"/>
        <w:tblW w:w="8891" w:type="dxa"/>
        <w:tblInd w:w="431" w:type="dxa"/>
        <w:tblCellMar>
          <w:top w:w="4" w:type="dxa"/>
          <w:left w:w="68" w:type="dxa"/>
          <w:bottom w:w="0" w:type="dxa"/>
          <w:right w:w="7" w:type="dxa"/>
        </w:tblCellMar>
        <w:tblLook w:val="04A0" w:firstRow="1" w:lastRow="0" w:firstColumn="1" w:lastColumn="0" w:noHBand="0" w:noVBand="1"/>
      </w:tblPr>
      <w:tblGrid>
        <w:gridCol w:w="1423"/>
        <w:gridCol w:w="1082"/>
        <w:gridCol w:w="5143"/>
        <w:gridCol w:w="1243"/>
      </w:tblGrid>
      <w:tr w:rsidR="00FA7413">
        <w:trPr>
          <w:trHeight w:val="260"/>
        </w:trPr>
        <w:tc>
          <w:tcPr>
            <w:tcW w:w="142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pPr>
            <w:r>
              <w:rPr>
                <w:rFonts w:ascii="Arial" w:eastAsia="Arial" w:hAnsi="Arial" w:cs="Arial"/>
                <w:b/>
              </w:rPr>
              <w:t xml:space="preserve">Aplicación </w:t>
            </w:r>
          </w:p>
        </w:tc>
        <w:tc>
          <w:tcPr>
            <w:tcW w:w="1082"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left="7"/>
              <w:jc w:val="center"/>
            </w:pPr>
            <w:r>
              <w:rPr>
                <w:rFonts w:ascii="Arial" w:eastAsia="Arial" w:hAnsi="Arial" w:cs="Arial"/>
                <w:b/>
              </w:rPr>
              <w:t xml:space="preserve">  </w:t>
            </w:r>
          </w:p>
        </w:tc>
        <w:tc>
          <w:tcPr>
            <w:tcW w:w="514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right="53"/>
              <w:jc w:val="center"/>
            </w:pPr>
            <w:r>
              <w:rPr>
                <w:rFonts w:ascii="Arial" w:eastAsia="Arial" w:hAnsi="Arial" w:cs="Arial"/>
                <w:b/>
              </w:rPr>
              <w:t xml:space="preserve">Denominación </w:t>
            </w:r>
          </w:p>
        </w:tc>
        <w:tc>
          <w:tcPr>
            <w:tcW w:w="124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right="52"/>
              <w:jc w:val="center"/>
            </w:pPr>
            <w:r>
              <w:rPr>
                <w:rFonts w:ascii="Arial" w:eastAsia="Arial" w:hAnsi="Arial" w:cs="Arial"/>
                <w:b/>
              </w:rPr>
              <w:t xml:space="preserve">Importe </w:t>
            </w:r>
          </w:p>
        </w:tc>
      </w:tr>
      <w:tr w:rsidR="00FA7413">
        <w:trPr>
          <w:trHeight w:val="260"/>
        </w:trPr>
        <w:tc>
          <w:tcPr>
            <w:tcW w:w="1423" w:type="dxa"/>
            <w:tcBorders>
              <w:top w:val="nil"/>
              <w:left w:val="single" w:sz="4" w:space="0" w:color="000000"/>
              <w:bottom w:val="single" w:sz="4" w:space="0" w:color="000000"/>
              <w:right w:val="single" w:sz="4" w:space="0" w:color="000000"/>
            </w:tcBorders>
          </w:tcPr>
          <w:p w:rsidR="00FA7413" w:rsidRDefault="00D712A8">
            <w:pPr>
              <w:spacing w:after="0"/>
              <w:ind w:right="64"/>
              <w:jc w:val="center"/>
            </w:pPr>
            <w:r>
              <w:rPr>
                <w:rFonts w:ascii="Arial" w:eastAsia="Arial" w:hAnsi="Arial" w:cs="Arial"/>
              </w:rPr>
              <w:t xml:space="preserve">870.00 </w:t>
            </w:r>
          </w:p>
        </w:tc>
        <w:tc>
          <w:tcPr>
            <w:tcW w:w="1082" w:type="dxa"/>
            <w:tcBorders>
              <w:top w:val="nil"/>
              <w:left w:val="single" w:sz="4" w:space="0" w:color="000000"/>
              <w:bottom w:val="single" w:sz="4" w:space="0" w:color="000000"/>
              <w:right w:val="single" w:sz="4" w:space="0" w:color="000000"/>
            </w:tcBorders>
          </w:tcPr>
          <w:p w:rsidR="00FA7413" w:rsidRDefault="00D712A8">
            <w:pPr>
              <w:spacing w:after="0"/>
              <w:ind w:left="2"/>
              <w:jc w:val="center"/>
            </w:pPr>
            <w:r>
              <w:rPr>
                <w:rFonts w:ascii="Arial" w:eastAsia="Arial" w:hAnsi="Arial" w:cs="Arial"/>
              </w:rPr>
              <w:t xml:space="preserve">  </w:t>
            </w:r>
          </w:p>
        </w:tc>
        <w:tc>
          <w:tcPr>
            <w:tcW w:w="5143" w:type="dxa"/>
            <w:tcBorders>
              <w:top w:val="nil"/>
              <w:left w:val="single" w:sz="4" w:space="0" w:color="000000"/>
              <w:bottom w:val="single" w:sz="4" w:space="0" w:color="000000"/>
              <w:right w:val="single" w:sz="4" w:space="0" w:color="000000"/>
            </w:tcBorders>
          </w:tcPr>
          <w:p w:rsidR="00FA7413" w:rsidRDefault="00D712A8">
            <w:pPr>
              <w:spacing w:after="0"/>
              <w:ind w:left="3"/>
            </w:pPr>
            <w:r>
              <w:rPr>
                <w:rFonts w:ascii="Arial" w:eastAsia="Arial" w:hAnsi="Arial" w:cs="Arial"/>
              </w:rPr>
              <w:t xml:space="preserve">Remanente de Tesorería para Gastos Generales  </w:t>
            </w:r>
          </w:p>
        </w:tc>
        <w:tc>
          <w:tcPr>
            <w:tcW w:w="1243" w:type="dxa"/>
            <w:tcBorders>
              <w:top w:val="nil"/>
              <w:left w:val="single" w:sz="4" w:space="0" w:color="000000"/>
              <w:bottom w:val="single" w:sz="4" w:space="0" w:color="000000"/>
              <w:right w:val="single" w:sz="4" w:space="0" w:color="000000"/>
            </w:tcBorders>
          </w:tcPr>
          <w:p w:rsidR="00FA7413" w:rsidRDefault="00D712A8">
            <w:pPr>
              <w:spacing w:after="0"/>
              <w:ind w:left="4"/>
              <w:jc w:val="both"/>
            </w:pPr>
            <w:r>
              <w:rPr>
                <w:rFonts w:ascii="Arial" w:eastAsia="Arial" w:hAnsi="Arial" w:cs="Arial"/>
              </w:rPr>
              <w:t xml:space="preserve">496.821,47 </w:t>
            </w:r>
          </w:p>
        </w:tc>
      </w:tr>
      <w:tr w:rsidR="00FA7413">
        <w:trPr>
          <w:trHeight w:val="259"/>
        </w:trPr>
        <w:tc>
          <w:tcPr>
            <w:tcW w:w="142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pPr>
            <w:r>
              <w:rPr>
                <w:rFonts w:ascii="Arial" w:eastAsia="Arial" w:hAnsi="Arial" w:cs="Arial"/>
                <w:b/>
              </w:rPr>
              <w:t xml:space="preserve">  </w:t>
            </w:r>
          </w:p>
        </w:tc>
        <w:tc>
          <w:tcPr>
            <w:tcW w:w="1082"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left="2"/>
              <w:jc w:val="center"/>
            </w:pPr>
            <w:r>
              <w:rPr>
                <w:rFonts w:ascii="Arial" w:eastAsia="Arial" w:hAnsi="Arial" w:cs="Arial"/>
                <w:b/>
              </w:rPr>
              <w:t xml:space="preserve">  </w:t>
            </w:r>
          </w:p>
        </w:tc>
        <w:tc>
          <w:tcPr>
            <w:tcW w:w="514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right="64"/>
              <w:jc w:val="center"/>
            </w:pPr>
            <w:r>
              <w:rPr>
                <w:rFonts w:ascii="Arial" w:eastAsia="Arial" w:hAnsi="Arial" w:cs="Arial"/>
                <w:b/>
              </w:rPr>
              <w:t xml:space="preserve">TOTAL </w:t>
            </w:r>
          </w:p>
        </w:tc>
        <w:tc>
          <w:tcPr>
            <w:tcW w:w="124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left="4"/>
              <w:jc w:val="both"/>
            </w:pPr>
            <w:r>
              <w:rPr>
                <w:rFonts w:ascii="Arial" w:eastAsia="Arial" w:hAnsi="Arial" w:cs="Arial"/>
                <w:b/>
              </w:rPr>
              <w:t xml:space="preserve">496.821,47 </w:t>
            </w:r>
          </w:p>
        </w:tc>
      </w:tr>
    </w:tbl>
    <w:p w:rsidR="00FA7413" w:rsidRDefault="00D712A8">
      <w:pPr>
        <w:spacing w:after="5"/>
        <w:ind w:left="360"/>
      </w:pPr>
      <w:r>
        <w:rPr>
          <w:rFonts w:ascii="Arial" w:eastAsia="Arial" w:hAnsi="Arial" w:cs="Arial"/>
          <w:b/>
        </w:rPr>
        <w:t xml:space="preserve"> </w:t>
      </w:r>
    </w:p>
    <w:p w:rsidR="00FA7413" w:rsidRDefault="00D712A8">
      <w:pPr>
        <w:spacing w:after="11" w:line="248" w:lineRule="auto"/>
        <w:ind w:left="1078" w:right="62" w:hanging="10"/>
        <w:jc w:val="both"/>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 xml:space="preserve">Consta en el expediente propuesta del Concejal delegado de Hacienda, D. Airam Pérez Chinea, de fecha 16 de junio de 2021, que transcrito literalmente dice: </w:t>
      </w:r>
    </w:p>
    <w:p w:rsidR="00FA7413" w:rsidRDefault="00D712A8">
      <w:pPr>
        <w:spacing w:after="0"/>
        <w:ind w:left="360"/>
      </w:pPr>
      <w:r>
        <w:rPr>
          <w:rFonts w:ascii="Arial" w:eastAsia="Arial" w:hAnsi="Arial" w:cs="Arial"/>
          <w:b/>
        </w:rPr>
        <w:t xml:space="preserve"> </w:t>
      </w:r>
    </w:p>
    <w:p w:rsidR="00FA7413" w:rsidRDefault="00D712A8">
      <w:pPr>
        <w:spacing w:after="21"/>
        <w:ind w:left="360"/>
      </w:pPr>
      <w:r>
        <w:rPr>
          <w:rFonts w:ascii="Arial" w:eastAsia="Arial" w:hAnsi="Arial" w:cs="Arial"/>
          <w:b/>
        </w:rPr>
        <w:t xml:space="preserve"> </w:t>
      </w:r>
    </w:p>
    <w:p w:rsidR="00FA7413" w:rsidRDefault="00D712A8">
      <w:pPr>
        <w:spacing w:after="3" w:line="241" w:lineRule="auto"/>
        <w:ind w:left="355" w:hanging="10"/>
      </w:pPr>
      <w:r>
        <w:rPr>
          <w:rFonts w:ascii="Arial" w:eastAsia="Arial" w:hAnsi="Arial" w:cs="Arial"/>
        </w:rPr>
        <w:t xml:space="preserve">    “Dado expediente 5897/2021 de Créditos Extraordinarios, relativos a actuaciones de mejora de instalaciones e infraestructuras municipales, y visto informe de la Intervención General que se transcribe a continuación:  </w:t>
      </w:r>
    </w:p>
    <w:p w:rsidR="00FA7413" w:rsidRDefault="00D712A8">
      <w:pPr>
        <w:spacing w:after="16"/>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 xml:space="preserve">     “Vista la propuesta de la A</w:t>
      </w:r>
      <w:r>
        <w:rPr>
          <w:rFonts w:ascii="Arial" w:eastAsia="Arial" w:hAnsi="Arial" w:cs="Arial"/>
        </w:rPr>
        <w:t>lcaldesa, de tramitación de modificación presupuestaria por Créditos Extraordinarios financiados con remanantes de Tesorería para Gastos Generales, que dice:</w:t>
      </w:r>
      <w:r>
        <w:rPr>
          <w:rFonts w:ascii="Times New Roman" w:eastAsia="Times New Roman" w:hAnsi="Times New Roman" w:cs="Times New Roman"/>
          <w:sz w:val="24"/>
        </w:rPr>
        <w:t xml:space="preserve"> </w:t>
      </w:r>
    </w:p>
    <w:p w:rsidR="00FA7413" w:rsidRDefault="00D712A8">
      <w:pPr>
        <w:spacing w:after="0"/>
        <w:ind w:left="1068"/>
      </w:pPr>
      <w:r>
        <w:rPr>
          <w:rFonts w:ascii="Arial" w:eastAsia="Arial" w:hAnsi="Arial" w:cs="Arial"/>
          <w:b/>
        </w:rPr>
        <w:t xml:space="preserve"> </w:t>
      </w:r>
    </w:p>
    <w:p w:rsidR="00FA7413" w:rsidRDefault="00D712A8">
      <w:pPr>
        <w:spacing w:after="41"/>
        <w:ind w:left="1068"/>
      </w:pPr>
      <w:r>
        <w:rPr>
          <w:rFonts w:ascii="Arial" w:eastAsia="Arial" w:hAnsi="Arial" w:cs="Arial"/>
          <w:b/>
        </w:rPr>
        <w:t xml:space="preserve"> </w:t>
      </w:r>
    </w:p>
    <w:p w:rsidR="00FA7413" w:rsidRDefault="00D712A8">
      <w:pPr>
        <w:spacing w:after="141" w:line="248" w:lineRule="auto"/>
        <w:ind w:left="345" w:right="64" w:firstLine="708"/>
        <w:jc w:val="both"/>
      </w:pPr>
      <w:r>
        <w:rPr>
          <w:rFonts w:ascii="Arial" w:eastAsia="Arial" w:hAnsi="Arial" w:cs="Arial"/>
        </w:rPr>
        <w:t>“El Ayuntamiento de Candelaria necesita créditos extraordinarios a los consignados en su Pres</w:t>
      </w:r>
      <w:r>
        <w:rPr>
          <w:rFonts w:ascii="Arial" w:eastAsia="Arial" w:hAnsi="Arial" w:cs="Arial"/>
        </w:rPr>
        <w:t>upuesto General 2021 para llevar a cabo actuaciones de mejora de instalaciones e infraestructuras municipales con ocasión de la ejecución de las obras siguientes:</w:t>
      </w:r>
      <w:r>
        <w:rPr>
          <w:rFonts w:ascii="Times New Roman" w:eastAsia="Times New Roman" w:hAnsi="Times New Roman" w:cs="Times New Roman"/>
          <w:sz w:val="24"/>
        </w:rPr>
        <w:t xml:space="preserve"> </w:t>
      </w:r>
    </w:p>
    <w:p w:rsidR="00FA7413" w:rsidRDefault="00D712A8">
      <w:pPr>
        <w:numPr>
          <w:ilvl w:val="0"/>
          <w:numId w:val="10"/>
        </w:numPr>
        <w:spacing w:after="138" w:line="248" w:lineRule="auto"/>
        <w:ind w:right="64" w:hanging="358"/>
        <w:jc w:val="both"/>
      </w:pPr>
      <w:r>
        <w:rPr>
          <w:noProof/>
        </w:rPr>
        <mc:AlternateContent>
          <mc:Choice Requires="wpg">
            <w:drawing>
              <wp:anchor distT="0" distB="0" distL="114300" distR="114300" simplePos="0" relativeHeight="251677696"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199310" name="Group 199310"/>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2602" name="Rectangle 2602"/>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Cód. Validación: 946JAL4TJAGYNDDM76ZM7ZAYZ | Verificación: https://candelaria.sedelectron</w:t>
                              </w:r>
                              <w:r>
                                <w:rPr>
                                  <w:rFonts w:ascii="Arial" w:eastAsia="Arial" w:hAnsi="Arial" w:cs="Arial"/>
                                  <w:sz w:val="12"/>
                                </w:rPr>
                                <w:t xml:space="preserve">ica.es/ </w:t>
                              </w:r>
                            </w:p>
                          </w:txbxContent>
                        </wps:txbx>
                        <wps:bodyPr horzOverflow="overflow" vert="horz" lIns="0" tIns="0" rIns="0" bIns="0" rtlCol="0">
                          <a:noAutofit/>
                        </wps:bodyPr>
                      </wps:wsp>
                      <wps:wsp>
                        <wps:cNvPr id="2603" name="Rectangle 2603"/>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18 de 180 </w:t>
                              </w:r>
                            </w:p>
                          </w:txbxContent>
                        </wps:txbx>
                        <wps:bodyPr horzOverflow="overflow" vert="horz" lIns="0" tIns="0" rIns="0" bIns="0" rtlCol="0">
                          <a:noAutofit/>
                        </wps:bodyPr>
                      </wps:wsp>
                    </wpg:wgp>
                  </a:graphicData>
                </a:graphic>
              </wp:anchor>
            </w:drawing>
          </mc:Choice>
          <mc:Fallback xmlns:a="http://schemas.openxmlformats.org/drawingml/2006/main">
            <w:pict>
              <v:group id="Group 199310" style="width:12.7031pt;height:275.586pt;position:absolute;mso-position-horizontal-relative:page;mso-position-horizontal:absolute;margin-left:682.278pt;mso-position-vertical-relative:page;margin-top:536.334pt;" coordsize="1613,34999">
                <v:rect id="Rectangle 2602"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2603"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 de 180 </w:t>
                        </w:r>
                      </w:p>
                    </w:txbxContent>
                  </v:textbox>
                </v:rect>
                <w10:wrap type="square"/>
              </v:group>
            </w:pict>
          </mc:Fallback>
        </mc:AlternateContent>
      </w:r>
      <w:r>
        <w:rPr>
          <w:rFonts w:ascii="Arial" w:eastAsia="Arial" w:hAnsi="Arial" w:cs="Arial"/>
          <w:b/>
        </w:rPr>
        <w:t>Obra Accesibilidad CEIP Principe Felipe</w:t>
      </w:r>
      <w:r>
        <w:rPr>
          <w:rFonts w:ascii="Arial" w:eastAsia="Arial" w:hAnsi="Arial" w:cs="Arial"/>
        </w:rPr>
        <w:t>: que consisten en obras de mejora de parte del cerramiento actual del C.E.I.P. Príncipe Felipe de Candelaria, q</w:t>
      </w:r>
      <w:r>
        <w:rPr>
          <w:rFonts w:ascii="Arial" w:eastAsia="Arial" w:hAnsi="Arial" w:cs="Arial"/>
        </w:rPr>
        <w:t>ue da frente a la calle Santa Ana y a un callejón, para dotar de un acceso de vehículos a su interior con el fin de mejorar su accesibilidad y a la vez para mejorar la evacuación de los alumnos y trasladar al exterior el actual cuarto de bombonas de gas pr</w:t>
      </w:r>
      <w:r>
        <w:rPr>
          <w:rFonts w:ascii="Arial" w:eastAsia="Arial" w:hAnsi="Arial" w:cs="Arial"/>
        </w:rPr>
        <w:t>opano de la cocina del comedor del colegio.</w:t>
      </w:r>
      <w:r>
        <w:rPr>
          <w:rFonts w:ascii="Times New Roman" w:eastAsia="Times New Roman" w:hAnsi="Times New Roman" w:cs="Times New Roman"/>
          <w:sz w:val="24"/>
        </w:rPr>
        <w:t xml:space="preserve"> </w:t>
      </w:r>
    </w:p>
    <w:p w:rsidR="00FA7413" w:rsidRDefault="00D712A8">
      <w:pPr>
        <w:numPr>
          <w:ilvl w:val="0"/>
          <w:numId w:val="10"/>
        </w:numPr>
        <w:spacing w:after="138" w:line="248" w:lineRule="auto"/>
        <w:ind w:right="64" w:hanging="358"/>
        <w:jc w:val="both"/>
      </w:pPr>
      <w:r>
        <w:rPr>
          <w:rFonts w:ascii="Arial" w:eastAsia="Arial" w:hAnsi="Arial" w:cs="Arial"/>
          <w:b/>
        </w:rPr>
        <w:t xml:space="preserve">Obra Fugas de agua CEIP Punta Larga: </w:t>
      </w:r>
      <w:r>
        <w:rPr>
          <w:rFonts w:ascii="Arial" w:eastAsia="Arial" w:hAnsi="Arial" w:cs="Arial"/>
        </w:rPr>
        <w:t>Debido a varias roturas en las tuberías del centro en la zona infantil por estar las mismas en mal estado por su antigüedad nos vemos en la necesidad de realizar una obra par</w:t>
      </w:r>
      <w:r>
        <w:rPr>
          <w:rFonts w:ascii="Arial" w:eastAsia="Arial" w:hAnsi="Arial" w:cs="Arial"/>
        </w:rPr>
        <w:t>a solucionar el problema. Las obras a realizar consisten fundamentalmente en la sustitución de la actual tubería de abastecimiento de agua potable a la zona de los cuartos de baño por la parte delantera y por la parte trasera, así como en los cuartos de ba</w:t>
      </w:r>
      <w:r>
        <w:rPr>
          <w:rFonts w:ascii="Arial" w:eastAsia="Arial" w:hAnsi="Arial" w:cs="Arial"/>
        </w:rPr>
        <w:t>ño de la cancha deportiva y en las aulas sobre cancha deportiva.</w:t>
      </w:r>
      <w:r>
        <w:rPr>
          <w:rFonts w:ascii="Times New Roman" w:eastAsia="Times New Roman" w:hAnsi="Times New Roman" w:cs="Times New Roman"/>
          <w:sz w:val="24"/>
        </w:rPr>
        <w:t xml:space="preserve"> </w:t>
      </w:r>
    </w:p>
    <w:p w:rsidR="00FA7413" w:rsidRDefault="00D712A8">
      <w:pPr>
        <w:numPr>
          <w:ilvl w:val="0"/>
          <w:numId w:val="10"/>
        </w:numPr>
        <w:spacing w:after="109" w:line="248" w:lineRule="auto"/>
        <w:ind w:right="64" w:hanging="358"/>
        <w:jc w:val="both"/>
      </w:pPr>
      <w:r>
        <w:rPr>
          <w:rFonts w:ascii="Arial" w:eastAsia="Arial" w:hAnsi="Arial" w:cs="Arial"/>
          <w:b/>
        </w:rPr>
        <w:t xml:space="preserve">Obra Camino Rural los Asomaderos: </w:t>
      </w:r>
      <w:r>
        <w:rPr>
          <w:rFonts w:ascii="Arial" w:eastAsia="Arial" w:hAnsi="Arial" w:cs="Arial"/>
        </w:rPr>
        <w:t xml:space="preserve">El camino de los Asomaderos facilita el acceso a una zona agrícola en la que se enclavan explotaciones agrícolas y ganaderas en explotación actualmente y que comprende unos 150.000 me, la mejora de las condiciones del camino y las actuaciones previstas en </w:t>
      </w:r>
      <w:r>
        <w:rPr>
          <w:rFonts w:ascii="Arial" w:eastAsia="Arial" w:hAnsi="Arial" w:cs="Arial"/>
        </w:rPr>
        <w:t>éste proyecto facilitarán el acceso y puesta en explotación de parcelas colindante, incentivando de éste modo la puesta en explotación y uso de parcelas que actualmente no lo están. Resulta necesario la ejecución de la mencionada actuación en el presente e</w:t>
      </w:r>
      <w:r>
        <w:rPr>
          <w:rFonts w:ascii="Arial" w:eastAsia="Arial" w:hAnsi="Arial" w:cs="Arial"/>
        </w:rPr>
        <w:t>jercicio, que posibilite la revitalización de esta zona agraria.</w:t>
      </w:r>
      <w:r>
        <w:rPr>
          <w:rFonts w:ascii="Times New Roman" w:eastAsia="Times New Roman" w:hAnsi="Times New Roman" w:cs="Times New Roman"/>
          <w:sz w:val="24"/>
        </w:rPr>
        <w:t xml:space="preserve"> </w:t>
      </w:r>
    </w:p>
    <w:p w:rsidR="00FA7413" w:rsidRDefault="00D712A8">
      <w:pPr>
        <w:spacing w:after="153"/>
        <w:ind w:left="1068"/>
      </w:pPr>
      <w:r>
        <w:rPr>
          <w:rFonts w:ascii="Arial" w:eastAsia="Arial" w:hAnsi="Arial" w:cs="Arial"/>
        </w:rPr>
        <w:t xml:space="preserve">  </w:t>
      </w:r>
    </w:p>
    <w:p w:rsidR="00FA7413" w:rsidRDefault="00D712A8">
      <w:pPr>
        <w:spacing w:after="159" w:line="248" w:lineRule="auto"/>
        <w:ind w:left="345" w:right="64" w:firstLine="708"/>
        <w:jc w:val="both"/>
      </w:pPr>
      <w:r>
        <w:rPr>
          <w:rFonts w:ascii="Arial" w:eastAsia="Arial" w:hAnsi="Arial" w:cs="Arial"/>
        </w:rPr>
        <w:t xml:space="preserve">Siendo un gasto específico y determinado ante la imposibilidad de demorarlo a ejercicios posteriores, y no habiendo crédito suficiente en las aplicaciónes presupuestarias.” </w:t>
      </w:r>
    </w:p>
    <w:p w:rsidR="00FA7413" w:rsidRDefault="00D712A8">
      <w:pPr>
        <w:spacing w:after="0"/>
        <w:ind w:left="1068"/>
      </w:pPr>
      <w:r>
        <w:rPr>
          <w:rFonts w:ascii="Arial" w:eastAsia="Arial" w:hAnsi="Arial" w:cs="Arial"/>
        </w:rPr>
        <w:t xml:space="preserve"> </w:t>
      </w:r>
    </w:p>
    <w:p w:rsidR="00FA7413" w:rsidRDefault="00D712A8">
      <w:pPr>
        <w:spacing w:after="165" w:line="248" w:lineRule="auto"/>
        <w:ind w:left="345" w:right="64" w:firstLine="708"/>
        <w:jc w:val="both"/>
      </w:pPr>
      <w:r>
        <w:rPr>
          <w:rFonts w:ascii="Arial" w:eastAsia="Arial" w:hAnsi="Arial" w:cs="Arial"/>
        </w:rPr>
        <w:t>Vista las M</w:t>
      </w:r>
      <w:r>
        <w:rPr>
          <w:rFonts w:ascii="Arial" w:eastAsia="Arial" w:hAnsi="Arial" w:cs="Arial"/>
        </w:rPr>
        <w:t>emorias, informes técnicos, proyectos de obra y presupuestos, de las actuaciones que se quieren llevar a cabo, en la que se justifican la necesidad y urgencia de la modificación presupuestaria, requisito que se establece en la base 9ª del Presupuesto Gener</w:t>
      </w:r>
      <w:r>
        <w:rPr>
          <w:rFonts w:ascii="Arial" w:eastAsia="Arial" w:hAnsi="Arial" w:cs="Arial"/>
        </w:rPr>
        <w:t xml:space="preserve">al,  y siendo un gasto específico y determinado, ante la imposibilidad de demorarlo a ejercicios posteriores, y no habiendo crédito suficiente en las aplicaciones presupuestarias. </w:t>
      </w:r>
    </w:p>
    <w:p w:rsidR="00FA7413" w:rsidRDefault="00D712A8">
      <w:pPr>
        <w:spacing w:after="0" w:line="248" w:lineRule="auto"/>
        <w:ind w:left="355" w:right="64" w:hanging="10"/>
        <w:jc w:val="both"/>
      </w:pPr>
      <w:r>
        <w:rPr>
          <w:rFonts w:ascii="Arial" w:eastAsia="Arial" w:hAnsi="Arial" w:cs="Arial"/>
          <w:b/>
        </w:rPr>
        <w:t xml:space="preserve">PRIMERO. </w:t>
      </w:r>
      <w:r>
        <w:rPr>
          <w:rFonts w:ascii="Arial" w:eastAsia="Arial" w:hAnsi="Arial" w:cs="Arial"/>
        </w:rPr>
        <w:t>Visto Acuerdo del Congreso de los Diputados del 20 de octubre de 2</w:t>
      </w:r>
      <w:r>
        <w:rPr>
          <w:rFonts w:ascii="Arial" w:eastAsia="Arial" w:hAnsi="Arial" w:cs="Arial"/>
        </w:rPr>
        <w:t>020, aprobado por mayoría absoluta, ha apreciado, por mayoría absoluta de sus miembros, que se da una situación de emergencia extraordinaria que motiva la suspensión de las reglas fiscales, requisito que establece el artículo 11.3 de la LOEPSF.</w:t>
      </w:r>
      <w:r>
        <w:rPr>
          <w:rFonts w:ascii="Arial" w:eastAsia="Arial" w:hAnsi="Arial" w:cs="Arial"/>
          <w:sz w:val="24"/>
        </w:rPr>
        <w:t xml:space="preserve"> </w:t>
      </w:r>
    </w:p>
    <w:p w:rsidR="00FA7413" w:rsidRDefault="00D712A8">
      <w:pPr>
        <w:spacing w:after="0"/>
        <w:ind w:left="360"/>
      </w:pPr>
      <w:r>
        <w:rPr>
          <w:rFonts w:ascii="Arial" w:eastAsia="Arial" w:hAnsi="Arial" w:cs="Arial"/>
        </w:rPr>
        <w:t xml:space="preserve"> </w:t>
      </w:r>
    </w:p>
    <w:p w:rsidR="00FA7413" w:rsidRDefault="00D712A8">
      <w:pPr>
        <w:spacing w:after="47" w:line="248" w:lineRule="auto"/>
        <w:ind w:left="355" w:right="64" w:hanging="10"/>
        <w:jc w:val="both"/>
      </w:pPr>
      <w:r>
        <w:rPr>
          <w:rFonts w:ascii="Arial" w:eastAsia="Arial" w:hAnsi="Arial" w:cs="Arial"/>
        </w:rPr>
        <w:t xml:space="preserve"> Atendie</w:t>
      </w:r>
      <w:r>
        <w:rPr>
          <w:rFonts w:ascii="Arial" w:eastAsia="Arial" w:hAnsi="Arial" w:cs="Arial"/>
        </w:rPr>
        <w:t xml:space="preserve">ndo al acuerdo del Consejo de Ministros de 6 de octubre de 2020, mediante el que se acuerda: </w:t>
      </w:r>
    </w:p>
    <w:p w:rsidR="00FA7413" w:rsidRDefault="00D712A8">
      <w:pPr>
        <w:numPr>
          <w:ilvl w:val="0"/>
          <w:numId w:val="11"/>
        </w:numPr>
        <w:spacing w:after="40" w:line="248" w:lineRule="auto"/>
        <w:ind w:right="64" w:hanging="360"/>
        <w:jc w:val="both"/>
      </w:pPr>
      <w:r>
        <w:rPr>
          <w:rFonts w:ascii="Arial" w:eastAsia="Arial" w:hAnsi="Arial" w:cs="Arial"/>
        </w:rPr>
        <w:t xml:space="preserve">“Solicitar del Congreso de los Diputados la apreciación de que en España estamos sufriendo una pandemia, lo que supone una situación de emergencia extraordinaria </w:t>
      </w:r>
      <w:r>
        <w:rPr>
          <w:rFonts w:ascii="Arial" w:eastAsia="Arial" w:hAnsi="Arial" w:cs="Arial"/>
        </w:rPr>
        <w:t xml:space="preserve">que se ajusta a lo dispuesto en el artículo 135.4 de la Constitución y en el artículo 11.3 de la Ley Orgánica de Estabilidad Presupuestaria y Sostenibilidad Financiera”.  </w:t>
      </w:r>
    </w:p>
    <w:p w:rsidR="00FA7413" w:rsidRDefault="00D712A8">
      <w:pPr>
        <w:numPr>
          <w:ilvl w:val="0"/>
          <w:numId w:val="11"/>
        </w:numPr>
        <w:spacing w:after="0" w:line="248" w:lineRule="auto"/>
        <w:ind w:right="64" w:hanging="360"/>
        <w:jc w:val="both"/>
      </w:pPr>
      <w:r>
        <w:rPr>
          <w:noProof/>
        </w:rPr>
        <mc:AlternateContent>
          <mc:Choice Requires="wpg">
            <w:drawing>
              <wp:anchor distT="0" distB="0" distL="114300" distR="114300" simplePos="0" relativeHeight="251678720"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198216" name="Group 198216"/>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2712" name="Rectangle 2712"/>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2713" name="Rectangle 2713"/>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19 de 180 </w:t>
                              </w:r>
                            </w:p>
                          </w:txbxContent>
                        </wps:txbx>
                        <wps:bodyPr horzOverflow="overflow" vert="horz" lIns="0" tIns="0" rIns="0" bIns="0" rtlCol="0">
                          <a:noAutofit/>
                        </wps:bodyPr>
                      </wps:wsp>
                    </wpg:wgp>
                  </a:graphicData>
                </a:graphic>
              </wp:anchor>
            </w:drawing>
          </mc:Choice>
          <mc:Fallback xmlns:a="http://schemas.openxmlformats.org/drawingml/2006/main">
            <w:pict>
              <v:group id="Group 198216" style="width:12.7031pt;height:275.586pt;position:absolute;mso-position-horizontal-relative:page;mso-position-horizontal:absolute;margin-left:682.278pt;mso-position-vertical-relative:page;margin-top:536.334pt;" coordsize="1613,34999">
                <v:rect id="Rectangle 2712"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2713"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 de 180 </w:t>
                        </w:r>
                      </w:p>
                    </w:txbxContent>
                  </v:textbox>
                </v:rect>
                <w10:wrap type="square"/>
              </v:group>
            </w:pict>
          </mc:Fallback>
        </mc:AlternateContent>
      </w:r>
      <w:r>
        <w:rPr>
          <w:rFonts w:ascii="Arial" w:eastAsia="Arial" w:hAnsi="Arial" w:cs="Arial"/>
        </w:rPr>
        <w:t>“Quedan suspendidos el Acuerdo de Consejo de Ministros de 11 d</w:t>
      </w:r>
      <w:r>
        <w:rPr>
          <w:rFonts w:ascii="Arial" w:eastAsia="Arial" w:hAnsi="Arial" w:cs="Arial"/>
        </w:rPr>
        <w:t>e febrero de 2020 por el que se adecúan los objetivos de estabilidad presupuestaria y de deuda pública para el conjunto de Administraciones Públicas y de cada uno de sus subsectores para el año 2020 para su remisión a las Cortes Generales, y se fija el lím</w:t>
      </w:r>
      <w:r>
        <w:rPr>
          <w:rFonts w:ascii="Arial" w:eastAsia="Arial" w:hAnsi="Arial" w:cs="Arial"/>
        </w:rPr>
        <w:t>ite de gasto no financiero del presupuesto del Estado para 2020, así como el Acuerdo de Consejo de Ministros de 11 de febrero de 2020 por el que se fijan los objetivos de estabilidad presupuestaria y de deuda pública para el conjunto de Administraciones Pú</w:t>
      </w:r>
      <w:r>
        <w:rPr>
          <w:rFonts w:ascii="Arial" w:eastAsia="Arial" w:hAnsi="Arial" w:cs="Arial"/>
        </w:rPr>
        <w:t xml:space="preserve">blicas y de cada uno de sus subsectores para el período 2021-2023 para su remisión a las Cortes Generales, y el límite de gasto no financiero del presupuesto del Estado para 2021.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 xml:space="preserve"> Por tanto, los objetivos de estabilidad y de deuda pública, y la regla </w:t>
      </w:r>
      <w:r>
        <w:rPr>
          <w:rFonts w:ascii="Arial" w:eastAsia="Arial" w:hAnsi="Arial" w:cs="Arial"/>
        </w:rPr>
        <w:t xml:space="preserve">de gasto, aprobados por el Gobierno el 11 de febrero de 2020 son inaplicables al aprobar éste su suspensión para el 2020 y el 2021. </w:t>
      </w:r>
    </w:p>
    <w:p w:rsidR="00FA7413" w:rsidRDefault="00D712A8">
      <w:pPr>
        <w:spacing w:after="0"/>
        <w:ind w:left="1068"/>
      </w:pPr>
      <w:r>
        <w:rPr>
          <w:rFonts w:ascii="Arial" w:eastAsia="Arial" w:hAnsi="Arial" w:cs="Arial"/>
        </w:rPr>
        <w:t xml:space="preserve"> </w:t>
      </w:r>
    </w:p>
    <w:p w:rsidR="00FA7413" w:rsidRDefault="00D712A8">
      <w:pPr>
        <w:spacing w:after="0" w:line="248" w:lineRule="auto"/>
        <w:ind w:left="345" w:right="64" w:firstLine="708"/>
        <w:jc w:val="both"/>
      </w:pPr>
      <w:r>
        <w:rPr>
          <w:rFonts w:ascii="Arial" w:eastAsia="Arial" w:hAnsi="Arial" w:cs="Arial"/>
        </w:rPr>
        <w:t>La suspensión de las reglas fiscales ha supuesto que el superávit no tenga que dedicarse a amortizar deuda, aun siendo po</w:t>
      </w:r>
      <w:r>
        <w:rPr>
          <w:rFonts w:ascii="Arial" w:eastAsia="Arial" w:hAnsi="Arial" w:cs="Arial"/>
        </w:rPr>
        <w:t xml:space="preserve">sible realizar esta amortización si la EELL lo considera. La regla del artículo 32 de la LOEPSF puede no aplicarse a partir del momento en que se han suspendido las reglas fiscales, ya que estas son el fundamento de aquella regla. Regla que conecta con el </w:t>
      </w:r>
      <w:r>
        <w:rPr>
          <w:rFonts w:ascii="Arial" w:eastAsia="Arial" w:hAnsi="Arial" w:cs="Arial"/>
        </w:rPr>
        <w:t xml:space="preserve">objetivo de estabilidad presupuestaria y con el de deuda pública.  </w:t>
      </w:r>
    </w:p>
    <w:p w:rsidR="00FA7413" w:rsidRDefault="00D712A8">
      <w:pPr>
        <w:spacing w:after="0"/>
        <w:ind w:left="1068"/>
      </w:pPr>
      <w:r>
        <w:rPr>
          <w:rFonts w:ascii="Arial" w:eastAsia="Arial" w:hAnsi="Arial" w:cs="Arial"/>
        </w:rPr>
        <w:t xml:space="preserve"> </w:t>
      </w:r>
    </w:p>
    <w:p w:rsidR="00FA7413" w:rsidRDefault="00D712A8">
      <w:pPr>
        <w:spacing w:after="10" w:line="248" w:lineRule="auto"/>
        <w:ind w:left="355" w:right="64" w:hanging="10"/>
        <w:jc w:val="both"/>
      </w:pPr>
      <w:r>
        <w:rPr>
          <w:rFonts w:ascii="Arial" w:eastAsia="Arial" w:hAnsi="Arial" w:cs="Arial"/>
        </w:rPr>
        <w:t xml:space="preserve"> Al no ser aplicable la regla general, tampoco es necesaria la regla especial de destinar el superávit a inversiones financieramente sostenibles, salvo las excepciones siguientes, o medi</w:t>
      </w:r>
      <w:r>
        <w:rPr>
          <w:rFonts w:ascii="Arial" w:eastAsia="Arial" w:hAnsi="Arial" w:cs="Arial"/>
        </w:rPr>
        <w:t xml:space="preserve">ante norma posterior que prorrogue íntegramente la DA 6ª de la LOEPSF. </w:t>
      </w:r>
    </w:p>
    <w:p w:rsidR="00FA7413" w:rsidRDefault="00D712A8">
      <w:pPr>
        <w:spacing w:after="40"/>
        <w:ind w:left="360"/>
      </w:pPr>
      <w:r>
        <w:rPr>
          <w:rFonts w:ascii="Arial" w:eastAsia="Arial" w:hAnsi="Arial" w:cs="Arial"/>
        </w:rPr>
        <w:t xml:space="preserve"> </w:t>
      </w:r>
      <w:r>
        <w:rPr>
          <w:rFonts w:ascii="Arial" w:eastAsia="Arial" w:hAnsi="Arial" w:cs="Arial"/>
        </w:rPr>
        <w:tab/>
      </w:r>
      <w:r>
        <w:rPr>
          <w:rFonts w:ascii="Times New Roman" w:eastAsia="Times New Roman" w:hAnsi="Times New Roman" w:cs="Times New Roman"/>
          <w:sz w:val="24"/>
        </w:rPr>
        <w:t xml:space="preserve"> </w:t>
      </w:r>
    </w:p>
    <w:p w:rsidR="00FA7413" w:rsidRDefault="00D712A8">
      <w:pPr>
        <w:spacing w:after="30" w:line="248" w:lineRule="auto"/>
        <w:ind w:left="355" w:right="64" w:hanging="10"/>
        <w:jc w:val="both"/>
      </w:pPr>
      <w:r>
        <w:rPr>
          <w:rFonts w:ascii="Arial" w:eastAsia="Arial" w:hAnsi="Arial" w:cs="Arial"/>
          <w:b/>
        </w:rPr>
        <w:t>SEGUNDO</w:t>
      </w:r>
      <w:r>
        <w:rPr>
          <w:rFonts w:ascii="Arial" w:eastAsia="Arial" w:hAnsi="Arial" w:cs="Arial"/>
        </w:rPr>
        <w:t>. La legislación aplicable es la siguiente:</w:t>
      </w:r>
      <w:r>
        <w:rPr>
          <w:rFonts w:ascii="Times New Roman" w:eastAsia="Times New Roman" w:hAnsi="Times New Roman" w:cs="Times New Roman"/>
          <w:sz w:val="24"/>
        </w:rPr>
        <w:t xml:space="preserve"> </w:t>
      </w:r>
    </w:p>
    <w:p w:rsidR="00FA7413" w:rsidRDefault="00D712A8">
      <w:pPr>
        <w:numPr>
          <w:ilvl w:val="0"/>
          <w:numId w:val="12"/>
        </w:numPr>
        <w:spacing w:after="51" w:line="248" w:lineRule="auto"/>
        <w:ind w:right="64" w:hanging="360"/>
        <w:jc w:val="both"/>
      </w:pPr>
      <w:r>
        <w:rPr>
          <w:rFonts w:ascii="Arial" w:eastAsia="Arial" w:hAnsi="Arial" w:cs="Arial"/>
        </w:rPr>
        <w:t xml:space="preserve">Los artículos 169, 170 y 172 a 177 del Real Decreto Legislativo 2/2004, de 5 de marzo, por el que se aprueba el Texto Refundido de la Ley Reguladora de las Haciendas Locales.  </w:t>
      </w:r>
    </w:p>
    <w:p w:rsidR="00FA7413" w:rsidRDefault="00D712A8">
      <w:pPr>
        <w:numPr>
          <w:ilvl w:val="0"/>
          <w:numId w:val="12"/>
        </w:numPr>
        <w:spacing w:after="3" w:line="241" w:lineRule="auto"/>
        <w:ind w:right="64" w:hanging="360"/>
        <w:jc w:val="both"/>
      </w:pPr>
      <w:r>
        <w:rPr>
          <w:rFonts w:ascii="Arial" w:eastAsia="Arial" w:hAnsi="Arial" w:cs="Arial"/>
        </w:rPr>
        <w:t xml:space="preserve">Los artículos 34 a 38 del Real Decreto 500/1990, de 20 de abril, por el que se </w:t>
      </w:r>
      <w:r>
        <w:rPr>
          <w:rFonts w:ascii="Arial" w:eastAsia="Arial" w:hAnsi="Arial" w:cs="Arial"/>
        </w:rPr>
        <w:t xml:space="preserve">desarrolla el Capítulo I, del Título VI, de la Ley 39/1988, de 28 de diciembre, Reguladora de las Haciendas Locales, en materia de presupuestos. </w:t>
      </w:r>
    </w:p>
    <w:p w:rsidR="00FA7413" w:rsidRDefault="00D712A8">
      <w:pPr>
        <w:numPr>
          <w:ilvl w:val="0"/>
          <w:numId w:val="12"/>
        </w:numPr>
        <w:spacing w:after="51" w:line="248" w:lineRule="auto"/>
        <w:ind w:right="64" w:hanging="360"/>
        <w:jc w:val="both"/>
      </w:pPr>
      <w:r>
        <w:rPr>
          <w:rFonts w:ascii="Arial" w:eastAsia="Arial" w:hAnsi="Arial" w:cs="Arial"/>
        </w:rPr>
        <w:t>Los artículos 3, 4, 11, 12, 13, 21, 23 y 32 de la Ley Orgánica 2/2012, de 27 de abril, de Estabilidad Presupue</w:t>
      </w:r>
      <w:r>
        <w:rPr>
          <w:rFonts w:ascii="Arial" w:eastAsia="Arial" w:hAnsi="Arial" w:cs="Arial"/>
        </w:rPr>
        <w:t xml:space="preserve">staria y Sostenibilidad Financiera.  </w:t>
      </w:r>
    </w:p>
    <w:p w:rsidR="00FA7413" w:rsidRDefault="00D712A8">
      <w:pPr>
        <w:numPr>
          <w:ilvl w:val="0"/>
          <w:numId w:val="12"/>
        </w:numPr>
        <w:spacing w:after="51" w:line="248" w:lineRule="auto"/>
        <w:ind w:right="64" w:hanging="360"/>
        <w:jc w:val="both"/>
      </w:pPr>
      <w:r>
        <w:rPr>
          <w:rFonts w:ascii="Arial" w:eastAsia="Arial" w:hAnsi="Arial" w:cs="Arial"/>
        </w:rPr>
        <w:t>El artículo 16.2 del Real Decreto 1463/2007, de 2 de noviembre, por el que se aprueba el Reglamento de Desarrollo de la Ley 18/2001, de 12 de noviembre, de Estabilidad Presupuestaria, en su Aplicación a las Entidades L</w:t>
      </w:r>
      <w:r>
        <w:rPr>
          <w:rFonts w:ascii="Arial" w:eastAsia="Arial" w:hAnsi="Arial" w:cs="Arial"/>
        </w:rPr>
        <w:t xml:space="preserve">ocales. </w:t>
      </w:r>
    </w:p>
    <w:p w:rsidR="00FA7413" w:rsidRDefault="00D712A8">
      <w:pPr>
        <w:numPr>
          <w:ilvl w:val="0"/>
          <w:numId w:val="12"/>
        </w:numPr>
        <w:spacing w:after="52" w:line="248" w:lineRule="auto"/>
        <w:ind w:right="64" w:hanging="360"/>
        <w:jc w:val="both"/>
      </w:pPr>
      <w:r>
        <w:rPr>
          <w:rFonts w:ascii="Arial" w:eastAsia="Arial" w:hAnsi="Arial" w:cs="Arial"/>
        </w:rPr>
        <w:t xml:space="preserve">El artículo 22.2.e) de la Ley 7/1985, de 2 de abril, Reguladora de las Bases del Régimen Local. </w:t>
      </w:r>
    </w:p>
    <w:p w:rsidR="00FA7413" w:rsidRDefault="00D712A8">
      <w:pPr>
        <w:numPr>
          <w:ilvl w:val="0"/>
          <w:numId w:val="12"/>
        </w:numPr>
        <w:spacing w:after="87" w:line="248" w:lineRule="auto"/>
        <w:ind w:right="64" w:hanging="360"/>
        <w:jc w:val="both"/>
      </w:pPr>
      <w:r>
        <w:rPr>
          <w:rFonts w:ascii="Arial" w:eastAsia="Arial" w:hAnsi="Arial" w:cs="Arial"/>
        </w:rPr>
        <w:t xml:space="preserve">La Disposición Adicional 6.ª de la Ley Orgánica 2/2012, de 27 de abril, de Estabilidad Presupuestaria y Sostenibilidad Financiera. </w:t>
      </w:r>
    </w:p>
    <w:p w:rsidR="00FA7413" w:rsidRDefault="00D712A8">
      <w:pPr>
        <w:numPr>
          <w:ilvl w:val="0"/>
          <w:numId w:val="12"/>
        </w:numPr>
        <w:spacing w:after="35" w:line="248" w:lineRule="auto"/>
        <w:ind w:right="64" w:hanging="360"/>
        <w:jc w:val="both"/>
      </w:pPr>
      <w:r>
        <w:rPr>
          <w:rFonts w:ascii="Arial" w:eastAsia="Arial" w:hAnsi="Arial" w:cs="Arial"/>
        </w:rPr>
        <w:t>La Orden EHA/3565/</w:t>
      </w:r>
      <w:r>
        <w:rPr>
          <w:rFonts w:ascii="Arial" w:eastAsia="Arial" w:hAnsi="Arial" w:cs="Arial"/>
        </w:rPr>
        <w:t>2008, de 3 de diciembre, por la que se aprueba la estructura de presupuestos de las entidades locales. - Resolución de 14 de septiembre de 2009, de la Dirección General de Coordinación Financiera con las Comunidades Autónomas y con las Entidades Locales, p</w:t>
      </w:r>
      <w:r>
        <w:rPr>
          <w:rFonts w:ascii="Arial" w:eastAsia="Arial" w:hAnsi="Arial" w:cs="Arial"/>
        </w:rPr>
        <w:t>or la que se Dictan Medidas para el Desarrollo de la Orden EHA/3565/2008, de 3 de diciembre, por la que se Aprueba la Estructura de los Presupuestos de las Entidades Locales</w:t>
      </w:r>
      <w:r>
        <w:rPr>
          <w:rFonts w:ascii="Arial" w:eastAsia="Arial" w:hAnsi="Arial" w:cs="Arial"/>
          <w:b/>
        </w:rPr>
        <w:t>.</w:t>
      </w:r>
      <w:r>
        <w:rPr>
          <w:rFonts w:ascii="Times New Roman" w:eastAsia="Times New Roman" w:hAnsi="Times New Roman" w:cs="Times New Roman"/>
          <w:sz w:val="24"/>
        </w:rPr>
        <w:t xml:space="preserve"> </w:t>
      </w:r>
    </w:p>
    <w:p w:rsidR="00FA7413" w:rsidRDefault="00D712A8">
      <w:pPr>
        <w:numPr>
          <w:ilvl w:val="0"/>
          <w:numId w:val="12"/>
        </w:numPr>
        <w:spacing w:after="51" w:line="248" w:lineRule="auto"/>
        <w:ind w:right="64" w:hanging="360"/>
        <w:jc w:val="both"/>
      </w:pPr>
      <w:r>
        <w:rPr>
          <w:rFonts w:ascii="Arial" w:eastAsia="Arial" w:hAnsi="Arial" w:cs="Arial"/>
        </w:rPr>
        <w:t>La Disposición Adicional 16.ª del Texto Refundido de la Ley Reguladora de las Ha</w:t>
      </w:r>
      <w:r>
        <w:rPr>
          <w:rFonts w:ascii="Arial" w:eastAsia="Arial" w:hAnsi="Arial" w:cs="Arial"/>
        </w:rPr>
        <w:t xml:space="preserve">ciendas Locales.  </w:t>
      </w:r>
    </w:p>
    <w:p w:rsidR="00FA7413" w:rsidRDefault="00D712A8">
      <w:pPr>
        <w:numPr>
          <w:ilvl w:val="0"/>
          <w:numId w:val="12"/>
        </w:numPr>
        <w:spacing w:after="11" w:line="248" w:lineRule="auto"/>
        <w:ind w:right="64" w:hanging="360"/>
        <w:jc w:val="both"/>
      </w:pPr>
      <w:r>
        <w:rPr>
          <w:rFonts w:ascii="Arial" w:eastAsia="Arial" w:hAnsi="Arial" w:cs="Arial"/>
        </w:rPr>
        <w:t xml:space="preserve">Acuerdo del Congreso de los Diputados del 13 de octubre de 2020, relativo al Objetivo de </w:t>
      </w:r>
    </w:p>
    <w:p w:rsidR="00FA7413" w:rsidRDefault="00D712A8">
      <w:pPr>
        <w:spacing w:after="50" w:line="248" w:lineRule="auto"/>
        <w:ind w:left="1090" w:right="64" w:hanging="10"/>
        <w:jc w:val="both"/>
      </w:pPr>
      <w:r>
        <w:rPr>
          <w:noProof/>
        </w:rPr>
        <mc:AlternateContent>
          <mc:Choice Requires="wpg">
            <w:drawing>
              <wp:anchor distT="0" distB="0" distL="114300" distR="114300" simplePos="0" relativeHeight="251679744"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197547" name="Group 197547"/>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2844" name="Rectangle 2844"/>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2845" name="Rectangle 2845"/>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20 de 180 </w:t>
                              </w:r>
                            </w:p>
                          </w:txbxContent>
                        </wps:txbx>
                        <wps:bodyPr horzOverflow="overflow" vert="horz" lIns="0" tIns="0" rIns="0" bIns="0" rtlCol="0">
                          <a:noAutofit/>
                        </wps:bodyPr>
                      </wps:wsp>
                    </wpg:wgp>
                  </a:graphicData>
                </a:graphic>
              </wp:anchor>
            </w:drawing>
          </mc:Choice>
          <mc:Fallback xmlns:a="http://schemas.openxmlformats.org/drawingml/2006/main">
            <w:pict>
              <v:group id="Group 197547" style="width:12.7031pt;height:275.586pt;position:absolute;mso-position-horizontal-relative:page;mso-position-horizontal:absolute;margin-left:682.278pt;mso-position-vertical-relative:page;margin-top:536.334pt;" coordsize="1613,34999">
                <v:rect id="Rectangle 2844"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2845"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 de 180 </w:t>
                        </w:r>
                      </w:p>
                    </w:txbxContent>
                  </v:textbox>
                </v:rect>
                <w10:wrap type="square"/>
              </v:group>
            </w:pict>
          </mc:Fallback>
        </mc:AlternateContent>
      </w:r>
      <w:r>
        <w:rPr>
          <w:rFonts w:ascii="Arial" w:eastAsia="Arial" w:hAnsi="Arial" w:cs="Arial"/>
        </w:rPr>
        <w:t>Estabilidad Presupuestaria, según acuerdo del Consejo de Ministros de 6 de octubre de 2020 de “Someter a la deliberación del Pleno, a los efectos previstos en los</w:t>
      </w:r>
      <w:r>
        <w:rPr>
          <w:rFonts w:ascii="Arial" w:eastAsia="Arial" w:hAnsi="Arial" w:cs="Arial"/>
        </w:rPr>
        <w:t xml:space="preserve"> artículos 135.4 de la Constitución y 11.3 de la Ley Orgánica 2/2012, de 27 de abril, de Estabilidad Presupuestaria y Sostenibilidad Financiera y publicar en el Boletín Oficial de las Cortes Generales.”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b/>
        </w:rPr>
        <w:t>TERCERO</w:t>
      </w:r>
      <w:r>
        <w:rPr>
          <w:rFonts w:ascii="Arial" w:eastAsia="Arial" w:hAnsi="Arial" w:cs="Arial"/>
        </w:rPr>
        <w:t>: Considerando que el artículo 177 del Real</w:t>
      </w:r>
      <w:r>
        <w:rPr>
          <w:rFonts w:ascii="Arial" w:eastAsia="Arial" w:hAnsi="Arial" w:cs="Arial"/>
        </w:rPr>
        <w:t xml:space="preserve"> Decreto Legislativo 2/2004, de 5 de marzo, por el que se aprueba el texto refundido de la Ley Reguladora de las Haciendas Locales, regula los expedientes de modificación presupuestaria mediante créditos extraordinarios y suplementos de crédito, al señalar</w:t>
      </w:r>
      <w:r>
        <w:rPr>
          <w:rFonts w:ascii="Arial" w:eastAsia="Arial" w:hAnsi="Arial" w:cs="Arial"/>
        </w:rPr>
        <w:t xml:space="preserve"> que:</w:t>
      </w:r>
      <w:r>
        <w:rPr>
          <w:rFonts w:ascii="Times New Roman" w:eastAsia="Times New Roman" w:hAnsi="Times New Roman" w:cs="Times New Roman"/>
          <w:sz w:val="24"/>
        </w:rPr>
        <w:t xml:space="preserve"> </w:t>
      </w:r>
    </w:p>
    <w:p w:rsidR="00FA7413" w:rsidRDefault="00D712A8">
      <w:pPr>
        <w:numPr>
          <w:ilvl w:val="0"/>
          <w:numId w:val="13"/>
        </w:numPr>
        <w:spacing w:after="9" w:line="248" w:lineRule="auto"/>
        <w:ind w:right="64" w:hanging="360"/>
        <w:jc w:val="both"/>
      </w:pPr>
      <w:r>
        <w:rPr>
          <w:rFonts w:ascii="Arial" w:eastAsia="Arial" w:hAnsi="Arial" w:cs="Arial"/>
        </w:rPr>
        <w:t>Cuando haya de realizarse algún gasto que no pueda demorarse hasta el ejercicio siguiente, y sea insuficiente en el presupuesto de la corporación el crédito consignado, el presidente de la corporación ordenará la incoación del expediente de suplemen</w:t>
      </w:r>
      <w:r>
        <w:rPr>
          <w:rFonts w:ascii="Arial" w:eastAsia="Arial" w:hAnsi="Arial" w:cs="Arial"/>
        </w:rPr>
        <w:t xml:space="preserve">to de crédito.  </w:t>
      </w:r>
    </w:p>
    <w:p w:rsidR="00FA7413" w:rsidRDefault="00D712A8">
      <w:pPr>
        <w:numPr>
          <w:ilvl w:val="0"/>
          <w:numId w:val="13"/>
        </w:numPr>
        <w:spacing w:after="8" w:line="248" w:lineRule="auto"/>
        <w:ind w:right="64" w:hanging="360"/>
        <w:jc w:val="both"/>
      </w:pPr>
      <w:r>
        <w:rPr>
          <w:rFonts w:ascii="Arial" w:eastAsia="Arial" w:hAnsi="Arial" w:cs="Arial"/>
        </w:rPr>
        <w:t>El expediente, que habrá de ser previamente informado por la Intervención, se someterá a la aprobación del Pleno de la corporación, con sujeción a los mismos trámites y requisitos que los presupuestos. Serán, asimismo, de aplicación, las n</w:t>
      </w:r>
      <w:r>
        <w:rPr>
          <w:rFonts w:ascii="Arial" w:eastAsia="Arial" w:hAnsi="Arial" w:cs="Arial"/>
        </w:rPr>
        <w:t xml:space="preserve">ormas sobre información, reclamación y publicidad de los presupuestos a que se refiere el artículo 169 de esta ley.  </w:t>
      </w:r>
    </w:p>
    <w:p w:rsidR="00FA7413" w:rsidRDefault="00D712A8">
      <w:pPr>
        <w:numPr>
          <w:ilvl w:val="0"/>
          <w:numId w:val="13"/>
        </w:numPr>
        <w:spacing w:after="44" w:line="248" w:lineRule="auto"/>
        <w:ind w:right="64" w:hanging="360"/>
        <w:jc w:val="both"/>
      </w:pPr>
      <w:r>
        <w:rPr>
          <w:rFonts w:ascii="Arial" w:eastAsia="Arial" w:hAnsi="Arial" w:cs="Arial"/>
        </w:rPr>
        <w:t xml:space="preserve">El expediente deberá especificar la concreta partida presupuestaria a incrementar y el medio o recurso que ha de financiar el aumento que </w:t>
      </w:r>
      <w:r>
        <w:rPr>
          <w:rFonts w:ascii="Arial" w:eastAsia="Arial" w:hAnsi="Arial" w:cs="Arial"/>
        </w:rPr>
        <w:t xml:space="preserve">se propone. </w:t>
      </w:r>
    </w:p>
    <w:p w:rsidR="00FA7413" w:rsidRDefault="00D712A8">
      <w:pPr>
        <w:numPr>
          <w:ilvl w:val="0"/>
          <w:numId w:val="13"/>
        </w:numPr>
        <w:spacing w:after="0" w:line="248" w:lineRule="auto"/>
        <w:ind w:right="64" w:hanging="360"/>
        <w:jc w:val="both"/>
      </w:pPr>
      <w:r>
        <w:rPr>
          <w:rFonts w:ascii="Arial" w:eastAsia="Arial" w:hAnsi="Arial" w:cs="Arial"/>
        </w:rPr>
        <w:t>Dicho aumento se financiará con cargo al remanente líquido de tesorería, con nuevos o mayores ingresos recaudados sobre los totales previstos en el presupuesto corriente, y mediante anulaciones o bajas de créditos de gastos de otras partidas d</w:t>
      </w:r>
      <w:r>
        <w:rPr>
          <w:rFonts w:ascii="Arial" w:eastAsia="Arial" w:hAnsi="Arial" w:cs="Arial"/>
        </w:rPr>
        <w:t>el presupuesto vigente no comprometidos, cuyas dotaciones se estimen reducibles sin perturbación del respectivo servicio. En el expediente se acreditará que los ingresos previstos en el presupuesto vengan efectuándose con normalidad, salvo que aquéllos ten</w:t>
      </w:r>
      <w:r>
        <w:rPr>
          <w:rFonts w:ascii="Arial" w:eastAsia="Arial" w:hAnsi="Arial" w:cs="Arial"/>
        </w:rPr>
        <w:t xml:space="preserve">gan carácter finalista. </w:t>
      </w:r>
      <w:r>
        <w:rPr>
          <w:rFonts w:ascii="Times New Roman" w:eastAsia="Times New Roman" w:hAnsi="Times New Roman" w:cs="Times New Roman"/>
          <w:sz w:val="24"/>
        </w:rPr>
        <w:t xml:space="preserve">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355" w:right="64" w:hanging="10"/>
        <w:jc w:val="both"/>
      </w:pPr>
      <w:r>
        <w:rPr>
          <w:rFonts w:ascii="Arial" w:eastAsia="Arial" w:hAnsi="Arial" w:cs="Arial"/>
          <w:b/>
        </w:rPr>
        <w:t>CUARTO:</w:t>
      </w:r>
      <w:r>
        <w:rPr>
          <w:rFonts w:ascii="Arial" w:eastAsia="Arial" w:hAnsi="Arial" w:cs="Arial"/>
        </w:rPr>
        <w:t xml:space="preserve"> Vista la Liquidación del Presupuesto general 2020, aprobada por decreto 671/2021 de </w:t>
      </w:r>
    </w:p>
    <w:p w:rsidR="00FA7413" w:rsidRDefault="00D712A8">
      <w:pPr>
        <w:spacing w:after="0" w:line="248" w:lineRule="auto"/>
        <w:ind w:left="355" w:right="64" w:hanging="10"/>
        <w:jc w:val="both"/>
      </w:pPr>
      <w:r>
        <w:rPr>
          <w:rFonts w:ascii="Arial" w:eastAsia="Arial" w:hAnsi="Arial" w:cs="Arial"/>
        </w:rPr>
        <w:t xml:space="preserve">15/03/2021, donde se aprueba un Remanente de Tesorería para gastos Generales (RTGG) por un </w:t>
      </w:r>
      <w:r>
        <w:rPr>
          <w:rFonts w:ascii="Arial" w:eastAsia="Arial" w:hAnsi="Arial" w:cs="Arial"/>
        </w:rPr>
        <w:t>importe de 16.083.205,94€. Y vistos los expedientes de modificación presupuestaria financiados con el Remanente de Tesorería para gastos Generales (RTGG) siguientes:</w:t>
      </w:r>
      <w:r>
        <w:rPr>
          <w:rFonts w:ascii="Times New Roman" w:eastAsia="Times New Roman" w:hAnsi="Times New Roman" w:cs="Times New Roman"/>
          <w:sz w:val="24"/>
        </w:rPr>
        <w:t xml:space="preserve"> </w:t>
      </w:r>
    </w:p>
    <w:p w:rsidR="00FA7413" w:rsidRDefault="00D712A8">
      <w:pPr>
        <w:spacing w:after="0"/>
        <w:ind w:left="360"/>
      </w:pPr>
      <w:r>
        <w:rPr>
          <w:rFonts w:ascii="Arial" w:eastAsia="Arial" w:hAnsi="Arial" w:cs="Arial"/>
        </w:rPr>
        <w:t xml:space="preserve"> </w:t>
      </w:r>
    </w:p>
    <w:p w:rsidR="00FA7413" w:rsidRDefault="00D712A8">
      <w:pPr>
        <w:numPr>
          <w:ilvl w:val="0"/>
          <w:numId w:val="14"/>
        </w:numPr>
        <w:spacing w:after="36" w:line="248" w:lineRule="auto"/>
        <w:ind w:right="64" w:hanging="360"/>
        <w:jc w:val="both"/>
      </w:pPr>
      <w:r>
        <w:rPr>
          <w:rFonts w:ascii="Arial" w:eastAsia="Arial" w:hAnsi="Arial" w:cs="Arial"/>
        </w:rPr>
        <w:t xml:space="preserve">Exp.613/2021 de Incorporación de créditos: 1.743.156,11€. </w:t>
      </w:r>
    </w:p>
    <w:p w:rsidR="00FA7413" w:rsidRDefault="00D712A8">
      <w:pPr>
        <w:numPr>
          <w:ilvl w:val="0"/>
          <w:numId w:val="14"/>
        </w:numPr>
        <w:spacing w:after="33" w:line="248" w:lineRule="auto"/>
        <w:ind w:right="64" w:hanging="360"/>
        <w:jc w:val="both"/>
      </w:pPr>
      <w:r>
        <w:rPr>
          <w:rFonts w:ascii="Arial" w:eastAsia="Arial" w:hAnsi="Arial" w:cs="Arial"/>
        </w:rPr>
        <w:t>Exp.2688/2021 de Créditos Ex</w:t>
      </w:r>
      <w:r>
        <w:rPr>
          <w:rFonts w:ascii="Arial" w:eastAsia="Arial" w:hAnsi="Arial" w:cs="Arial"/>
        </w:rPr>
        <w:t xml:space="preserve">traordinarios: 4.034.835,71€. </w:t>
      </w:r>
    </w:p>
    <w:p w:rsidR="00FA7413" w:rsidRDefault="00D712A8">
      <w:pPr>
        <w:numPr>
          <w:ilvl w:val="0"/>
          <w:numId w:val="14"/>
        </w:numPr>
        <w:spacing w:after="11" w:line="248" w:lineRule="auto"/>
        <w:ind w:right="64" w:hanging="360"/>
        <w:jc w:val="both"/>
      </w:pPr>
      <w:r>
        <w:rPr>
          <w:rFonts w:ascii="Arial" w:eastAsia="Arial" w:hAnsi="Arial" w:cs="Arial"/>
        </w:rPr>
        <w:t xml:space="preserve">Exp.3519/2021 de Suplementos de Créditos:  471.000,63€. </w:t>
      </w:r>
    </w:p>
    <w:p w:rsidR="00FA7413" w:rsidRDefault="00D712A8">
      <w:pPr>
        <w:spacing w:after="0"/>
        <w:ind w:left="1080"/>
      </w:pPr>
      <w:r>
        <w:rPr>
          <w:rFonts w:ascii="Arial" w:eastAsia="Arial" w:hAnsi="Arial" w:cs="Arial"/>
        </w:rPr>
        <w:t xml:space="preserve"> </w:t>
      </w:r>
    </w:p>
    <w:p w:rsidR="00FA7413" w:rsidRDefault="00D712A8">
      <w:pPr>
        <w:spacing w:after="27" w:line="248" w:lineRule="auto"/>
        <w:ind w:left="355" w:right="64" w:hanging="10"/>
        <w:jc w:val="both"/>
      </w:pPr>
      <w:r>
        <w:rPr>
          <w:rFonts w:ascii="Arial" w:eastAsia="Arial" w:hAnsi="Arial" w:cs="Arial"/>
        </w:rPr>
        <w:t xml:space="preserve"> El importe de Remanente de Tesorería para gastos Generales (RTGG) disponible asciende a 9.834.213,49€.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64" w:hanging="10"/>
        <w:jc w:val="both"/>
      </w:pPr>
      <w:r>
        <w:rPr>
          <w:rFonts w:ascii="Arial" w:eastAsia="Arial" w:hAnsi="Arial" w:cs="Arial"/>
          <w:b/>
        </w:rPr>
        <w:t>QUINTO:</w:t>
      </w:r>
      <w:r>
        <w:rPr>
          <w:rFonts w:ascii="Arial" w:eastAsia="Arial" w:hAnsi="Arial" w:cs="Arial"/>
        </w:rPr>
        <w:t xml:space="preserve"> Que el expediente de modificación presupuestaria nº</w:t>
      </w:r>
      <w:r>
        <w:rPr>
          <w:rFonts w:ascii="Arial" w:eastAsia="Arial" w:hAnsi="Arial" w:cs="Arial"/>
        </w:rPr>
        <w:t xml:space="preserve"> 5897/2021, por Créditos Extraordinarios financiado con remanente de tesorería para gastos generales, se realizará por la cantidad de</w:t>
      </w:r>
      <w:r>
        <w:rPr>
          <w:rFonts w:ascii="Arial" w:eastAsia="Arial" w:hAnsi="Arial" w:cs="Arial"/>
          <w:b/>
        </w:rPr>
        <w:t xml:space="preserve"> 496.821,47 Euros</w:t>
      </w:r>
      <w:r>
        <w:rPr>
          <w:rFonts w:ascii="Arial" w:eastAsia="Arial" w:hAnsi="Arial" w:cs="Arial"/>
        </w:rPr>
        <w:t>, según el siguiente detalle:</w:t>
      </w:r>
      <w:r>
        <w:rPr>
          <w:rFonts w:ascii="Times New Roman" w:eastAsia="Times New Roman" w:hAnsi="Times New Roman" w:cs="Times New Roman"/>
          <w:sz w:val="24"/>
        </w:rPr>
        <w:t xml:space="preserve"> </w:t>
      </w:r>
    </w:p>
    <w:p w:rsidR="00FA7413" w:rsidRDefault="00D712A8">
      <w:pPr>
        <w:spacing w:after="0"/>
        <w:ind w:left="360"/>
      </w:pPr>
      <w:r>
        <w:rPr>
          <w:rFonts w:ascii="Arial" w:eastAsia="Arial" w:hAnsi="Arial" w:cs="Arial"/>
        </w:rPr>
        <w:t xml:space="preserve"> </w:t>
      </w:r>
    </w:p>
    <w:p w:rsidR="00FA7413" w:rsidRDefault="00D712A8">
      <w:pPr>
        <w:tabs>
          <w:tab w:val="center" w:pos="500"/>
          <w:tab w:val="center" w:pos="1925"/>
          <w:tab w:val="center" w:pos="5510"/>
          <w:tab w:val="center" w:pos="8702"/>
        </w:tabs>
        <w:spacing w:after="11" w:line="248" w:lineRule="auto"/>
      </w:pPr>
      <w:r>
        <w:tab/>
      </w:r>
      <w:r>
        <w:rPr>
          <w:rFonts w:ascii="Arial" w:eastAsia="Arial" w:hAnsi="Arial" w:cs="Arial"/>
        </w:rPr>
        <w:t xml:space="preserve"> </w:t>
      </w:r>
      <w:r>
        <w:rPr>
          <w:rFonts w:ascii="Arial" w:eastAsia="Arial" w:hAnsi="Arial" w:cs="Arial"/>
        </w:rPr>
        <w:tab/>
        <w:t xml:space="preserve"> </w:t>
      </w:r>
      <w:r>
        <w:rPr>
          <w:rFonts w:ascii="Arial" w:eastAsia="Arial" w:hAnsi="Arial" w:cs="Arial"/>
        </w:rPr>
        <w:tab/>
      </w:r>
      <w:r>
        <w:rPr>
          <w:rFonts w:ascii="Arial" w:eastAsia="Arial" w:hAnsi="Arial" w:cs="Arial"/>
          <w:b/>
        </w:rPr>
        <w:t xml:space="preserve">Estado de Gastos  </w:t>
      </w:r>
      <w:r>
        <w:rPr>
          <w:rFonts w:ascii="Arial" w:eastAsia="Arial" w:hAnsi="Arial" w:cs="Arial"/>
          <w:b/>
        </w:rPr>
        <w:tab/>
        <w:t xml:space="preserve"> </w:t>
      </w:r>
    </w:p>
    <w:tbl>
      <w:tblPr>
        <w:tblStyle w:val="TableGrid"/>
        <w:tblW w:w="8891" w:type="dxa"/>
        <w:tblInd w:w="431" w:type="dxa"/>
        <w:tblCellMar>
          <w:top w:w="6" w:type="dxa"/>
          <w:left w:w="68" w:type="dxa"/>
          <w:bottom w:w="6" w:type="dxa"/>
          <w:right w:w="7" w:type="dxa"/>
        </w:tblCellMar>
        <w:tblLook w:val="04A0" w:firstRow="1" w:lastRow="0" w:firstColumn="1" w:lastColumn="0" w:noHBand="0" w:noVBand="1"/>
      </w:tblPr>
      <w:tblGrid>
        <w:gridCol w:w="1423"/>
        <w:gridCol w:w="1082"/>
        <w:gridCol w:w="5143"/>
        <w:gridCol w:w="1243"/>
      </w:tblGrid>
      <w:tr w:rsidR="00FA7413">
        <w:trPr>
          <w:trHeight w:val="512"/>
        </w:trPr>
        <w:tc>
          <w:tcPr>
            <w:tcW w:w="1423"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FA7413" w:rsidRDefault="00D712A8">
            <w:pPr>
              <w:spacing w:after="0"/>
              <w:ind w:left="84"/>
            </w:pPr>
            <w:r>
              <w:rPr>
                <w:rFonts w:ascii="Arial" w:eastAsia="Arial" w:hAnsi="Arial" w:cs="Arial"/>
                <w:b/>
              </w:rPr>
              <w:t xml:space="preserve">Aplicación </w:t>
            </w:r>
          </w:p>
        </w:tc>
        <w:tc>
          <w:tcPr>
            <w:tcW w:w="1082"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jc w:val="center"/>
            </w:pPr>
            <w:r>
              <w:rPr>
                <w:rFonts w:ascii="Arial" w:eastAsia="Arial" w:hAnsi="Arial" w:cs="Arial"/>
                <w:b/>
              </w:rPr>
              <w:t xml:space="preserve">Proyecto gasto </w:t>
            </w:r>
          </w:p>
        </w:tc>
        <w:tc>
          <w:tcPr>
            <w:tcW w:w="5143"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FA7413" w:rsidRDefault="00D712A8">
            <w:pPr>
              <w:spacing w:after="0"/>
              <w:ind w:right="58"/>
              <w:jc w:val="center"/>
            </w:pPr>
            <w:r>
              <w:rPr>
                <w:rFonts w:ascii="Arial" w:eastAsia="Arial" w:hAnsi="Arial" w:cs="Arial"/>
                <w:b/>
              </w:rPr>
              <w:t xml:space="preserve">Denominación </w:t>
            </w:r>
          </w:p>
        </w:tc>
        <w:tc>
          <w:tcPr>
            <w:tcW w:w="1243"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FA7413" w:rsidRDefault="00D712A8">
            <w:pPr>
              <w:spacing w:after="0"/>
              <w:ind w:right="57"/>
              <w:jc w:val="center"/>
            </w:pPr>
            <w:r>
              <w:rPr>
                <w:rFonts w:ascii="Arial" w:eastAsia="Arial" w:hAnsi="Arial" w:cs="Arial"/>
                <w:b/>
              </w:rPr>
              <w:t xml:space="preserve">Importe </w:t>
            </w:r>
          </w:p>
        </w:tc>
      </w:tr>
      <w:tr w:rsidR="00FA7413">
        <w:trPr>
          <w:trHeight w:val="517"/>
        </w:trPr>
        <w:tc>
          <w:tcPr>
            <w:tcW w:w="1423" w:type="dxa"/>
            <w:tcBorders>
              <w:top w:val="single" w:sz="4" w:space="0" w:color="000000"/>
              <w:left w:val="single" w:sz="4" w:space="0" w:color="000000"/>
              <w:bottom w:val="single" w:sz="4" w:space="0" w:color="000000"/>
              <w:right w:val="single" w:sz="4" w:space="0" w:color="000000"/>
            </w:tcBorders>
            <w:vAlign w:val="bottom"/>
          </w:tcPr>
          <w:p w:rsidR="00FA7413" w:rsidRDefault="00D712A8">
            <w:pPr>
              <w:spacing w:after="0"/>
              <w:jc w:val="both"/>
            </w:pPr>
            <w:r>
              <w:rPr>
                <w:rFonts w:ascii="Arial" w:eastAsia="Arial" w:hAnsi="Arial" w:cs="Arial"/>
              </w:rPr>
              <w:t xml:space="preserve">41400.61901 </w:t>
            </w:r>
          </w:p>
        </w:tc>
        <w:tc>
          <w:tcPr>
            <w:tcW w:w="1082" w:type="dxa"/>
            <w:tcBorders>
              <w:top w:val="single" w:sz="4" w:space="0" w:color="000000"/>
              <w:left w:val="single" w:sz="4" w:space="0" w:color="000000"/>
              <w:bottom w:val="single" w:sz="4" w:space="0" w:color="000000"/>
              <w:right w:val="single" w:sz="4" w:space="0" w:color="000000"/>
            </w:tcBorders>
            <w:vAlign w:val="bottom"/>
          </w:tcPr>
          <w:p w:rsidR="00FA7413" w:rsidRDefault="00D712A8">
            <w:pPr>
              <w:spacing w:after="0"/>
              <w:ind w:left="2"/>
              <w:jc w:val="both"/>
            </w:pPr>
            <w:r>
              <w:rPr>
                <w:rFonts w:ascii="Arial" w:eastAsia="Arial" w:hAnsi="Arial" w:cs="Arial"/>
              </w:rPr>
              <w:t xml:space="preserve">P.21.2.38 </w:t>
            </w:r>
          </w:p>
        </w:tc>
        <w:tc>
          <w:tcPr>
            <w:tcW w:w="514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3"/>
            </w:pPr>
            <w:r>
              <w:rPr>
                <w:rFonts w:ascii="Arial" w:eastAsia="Arial" w:hAnsi="Arial" w:cs="Arial"/>
              </w:rPr>
              <w:t xml:space="preserve">Repavimentación tramo urbano camino rural Los Asomaderos </w:t>
            </w:r>
          </w:p>
        </w:tc>
        <w:tc>
          <w:tcPr>
            <w:tcW w:w="1243" w:type="dxa"/>
            <w:tcBorders>
              <w:top w:val="single" w:sz="4" w:space="0" w:color="000000"/>
              <w:left w:val="single" w:sz="4" w:space="0" w:color="000000"/>
              <w:bottom w:val="single" w:sz="4" w:space="0" w:color="000000"/>
              <w:right w:val="single" w:sz="4" w:space="0" w:color="000000"/>
            </w:tcBorders>
            <w:vAlign w:val="bottom"/>
          </w:tcPr>
          <w:p w:rsidR="00FA7413" w:rsidRDefault="00D712A8">
            <w:pPr>
              <w:spacing w:after="0"/>
              <w:ind w:left="4"/>
              <w:jc w:val="both"/>
            </w:pPr>
            <w:r>
              <w:rPr>
                <w:rFonts w:ascii="Arial" w:eastAsia="Arial" w:hAnsi="Arial" w:cs="Arial"/>
              </w:rPr>
              <w:t xml:space="preserve">444.816,59 </w:t>
            </w:r>
          </w:p>
        </w:tc>
      </w:tr>
      <w:tr w:rsidR="00FA7413">
        <w:trPr>
          <w:trHeight w:val="264"/>
        </w:trPr>
        <w:tc>
          <w:tcPr>
            <w:tcW w:w="1423" w:type="dxa"/>
            <w:tcBorders>
              <w:top w:val="single" w:sz="4" w:space="0" w:color="000000"/>
              <w:left w:val="single" w:sz="4" w:space="0" w:color="000000"/>
              <w:bottom w:val="single" w:sz="4" w:space="0" w:color="000000"/>
              <w:right w:val="single" w:sz="4" w:space="0" w:color="000000"/>
            </w:tcBorders>
          </w:tcPr>
          <w:p w:rsidR="00FA7413" w:rsidRDefault="00D712A8">
            <w:pPr>
              <w:spacing w:after="0"/>
              <w:jc w:val="both"/>
            </w:pPr>
            <w:r>
              <w:rPr>
                <w:rFonts w:ascii="Arial" w:eastAsia="Arial" w:hAnsi="Arial" w:cs="Arial"/>
              </w:rPr>
              <w:t xml:space="preserve">32300.21201 </w:t>
            </w:r>
          </w:p>
        </w:tc>
        <w:tc>
          <w:tcPr>
            <w:tcW w:w="108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2"/>
              <w:jc w:val="both"/>
            </w:pPr>
            <w:r>
              <w:rPr>
                <w:rFonts w:ascii="Arial" w:eastAsia="Arial" w:hAnsi="Arial" w:cs="Arial"/>
              </w:rPr>
              <w:t xml:space="preserve">P.21.2.38 </w:t>
            </w:r>
          </w:p>
        </w:tc>
        <w:tc>
          <w:tcPr>
            <w:tcW w:w="514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3"/>
            </w:pPr>
            <w:r>
              <w:rPr>
                <w:rFonts w:ascii="Arial" w:eastAsia="Arial" w:hAnsi="Arial" w:cs="Arial"/>
              </w:rPr>
              <w:t xml:space="preserve">Obras Accesibilidad CEIP Príncipe Felipe </w:t>
            </w:r>
          </w:p>
        </w:tc>
        <w:tc>
          <w:tcPr>
            <w:tcW w:w="124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126"/>
            </w:pPr>
            <w:r>
              <w:rPr>
                <w:rFonts w:ascii="Arial" w:eastAsia="Arial" w:hAnsi="Arial" w:cs="Arial"/>
              </w:rPr>
              <w:t xml:space="preserve">39.761,13 </w:t>
            </w:r>
          </w:p>
        </w:tc>
      </w:tr>
      <w:tr w:rsidR="00FA7413">
        <w:trPr>
          <w:trHeight w:val="264"/>
        </w:trPr>
        <w:tc>
          <w:tcPr>
            <w:tcW w:w="1423" w:type="dxa"/>
            <w:tcBorders>
              <w:top w:val="single" w:sz="4" w:space="0" w:color="000000"/>
              <w:left w:val="single" w:sz="4" w:space="0" w:color="000000"/>
              <w:bottom w:val="single" w:sz="4" w:space="0" w:color="000000"/>
              <w:right w:val="single" w:sz="4" w:space="0" w:color="000000"/>
            </w:tcBorders>
          </w:tcPr>
          <w:p w:rsidR="00FA7413" w:rsidRDefault="00D712A8">
            <w:pPr>
              <w:spacing w:after="0"/>
              <w:jc w:val="both"/>
            </w:pPr>
            <w:r>
              <w:rPr>
                <w:rFonts w:ascii="Arial" w:eastAsia="Arial" w:hAnsi="Arial" w:cs="Arial"/>
              </w:rPr>
              <w:t xml:space="preserve">32300.21202 </w:t>
            </w:r>
          </w:p>
        </w:tc>
        <w:tc>
          <w:tcPr>
            <w:tcW w:w="108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2"/>
              <w:jc w:val="both"/>
            </w:pPr>
            <w:r>
              <w:rPr>
                <w:rFonts w:ascii="Arial" w:eastAsia="Arial" w:hAnsi="Arial" w:cs="Arial"/>
              </w:rPr>
              <w:t xml:space="preserve">P.21.2.38 </w:t>
            </w:r>
          </w:p>
        </w:tc>
        <w:tc>
          <w:tcPr>
            <w:tcW w:w="514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3"/>
            </w:pPr>
            <w:r>
              <w:rPr>
                <w:rFonts w:ascii="Arial" w:eastAsia="Arial" w:hAnsi="Arial" w:cs="Arial"/>
              </w:rPr>
              <w:t xml:space="preserve">Obra Fugas de agua CEIP Punta Larga </w:t>
            </w:r>
          </w:p>
        </w:tc>
        <w:tc>
          <w:tcPr>
            <w:tcW w:w="124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126"/>
            </w:pPr>
            <w:r>
              <w:rPr>
                <w:rFonts w:ascii="Arial" w:eastAsia="Arial" w:hAnsi="Arial" w:cs="Arial"/>
              </w:rPr>
              <w:t xml:space="preserve">12.243,75 </w:t>
            </w:r>
          </w:p>
        </w:tc>
      </w:tr>
      <w:tr w:rsidR="00FA7413">
        <w:trPr>
          <w:trHeight w:val="260"/>
        </w:trPr>
        <w:tc>
          <w:tcPr>
            <w:tcW w:w="142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pPr>
            <w:r>
              <w:rPr>
                <w:rFonts w:ascii="Arial" w:eastAsia="Arial" w:hAnsi="Arial" w:cs="Arial"/>
                <w:b/>
              </w:rPr>
              <w:t xml:space="preserve">  </w:t>
            </w:r>
          </w:p>
        </w:tc>
        <w:tc>
          <w:tcPr>
            <w:tcW w:w="1082"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left="2"/>
              <w:jc w:val="center"/>
            </w:pPr>
            <w:r>
              <w:rPr>
                <w:rFonts w:ascii="Arial" w:eastAsia="Arial" w:hAnsi="Arial" w:cs="Arial"/>
                <w:b/>
              </w:rPr>
              <w:t xml:space="preserve">  </w:t>
            </w:r>
          </w:p>
        </w:tc>
        <w:tc>
          <w:tcPr>
            <w:tcW w:w="514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right="64"/>
              <w:jc w:val="center"/>
            </w:pPr>
            <w:r>
              <w:rPr>
                <w:rFonts w:ascii="Arial" w:eastAsia="Arial" w:hAnsi="Arial" w:cs="Arial"/>
                <w:b/>
              </w:rPr>
              <w:t xml:space="preserve">TOTAL </w:t>
            </w:r>
          </w:p>
        </w:tc>
        <w:tc>
          <w:tcPr>
            <w:tcW w:w="124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left="4"/>
              <w:jc w:val="both"/>
            </w:pPr>
            <w:r>
              <w:rPr>
                <w:rFonts w:ascii="Arial" w:eastAsia="Arial" w:hAnsi="Arial" w:cs="Arial"/>
                <w:b/>
              </w:rPr>
              <w:t>496.821,47</w:t>
            </w:r>
            <w:r>
              <w:rPr>
                <w:rFonts w:ascii="Times New Roman" w:eastAsia="Times New Roman" w:hAnsi="Times New Roman" w:cs="Times New Roman"/>
                <w:sz w:val="24"/>
              </w:rPr>
              <w:t xml:space="preserve"> </w:t>
            </w:r>
          </w:p>
        </w:tc>
      </w:tr>
    </w:tbl>
    <w:p w:rsidR="00FA7413" w:rsidRDefault="00D712A8">
      <w:pPr>
        <w:spacing w:after="0"/>
        <w:ind w:left="1784"/>
      </w:pPr>
      <w:r>
        <w:rPr>
          <w:rFonts w:ascii="Arial" w:eastAsia="Arial" w:hAnsi="Arial" w:cs="Arial"/>
          <w:b/>
        </w:rPr>
        <w:t xml:space="preserve"> </w:t>
      </w: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p>
    <w:p w:rsidR="00FA7413" w:rsidRDefault="00D712A8">
      <w:pPr>
        <w:tabs>
          <w:tab w:val="center" w:pos="500"/>
          <w:tab w:val="center" w:pos="1925"/>
          <w:tab w:val="center" w:pos="5510"/>
          <w:tab w:val="center" w:pos="8702"/>
        </w:tabs>
        <w:spacing w:after="11" w:line="248" w:lineRule="auto"/>
      </w:pPr>
      <w:r>
        <w:rPr>
          <w:noProof/>
        </w:rPr>
        <mc:AlternateContent>
          <mc:Choice Requires="wpg">
            <w:drawing>
              <wp:anchor distT="0" distB="0" distL="114300" distR="114300" simplePos="0" relativeHeight="251680768"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06536" name="Group 206536"/>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3351" name="Rectangle 3351"/>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3352" name="Rectangle 3352"/>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21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6536" style="width:12.7031pt;height:275.586pt;position:absolute;mso-position-horizontal-relative:page;mso-position-horizontal:absolute;margin-left:682.278pt;mso-position-vertical-relative:page;margin-top:536.334pt;" coordsize="1613,34999">
                <v:rect id="Rectangle 3351"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3352"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 de 180 </w:t>
                        </w:r>
                      </w:p>
                    </w:txbxContent>
                  </v:textbox>
                </v:rect>
                <w10:wrap type="square"/>
              </v:group>
            </w:pict>
          </mc:Fallback>
        </mc:AlternateContent>
      </w:r>
      <w:r>
        <w:tab/>
      </w:r>
      <w:r>
        <w:rPr>
          <w:rFonts w:ascii="Arial" w:eastAsia="Arial" w:hAnsi="Arial" w:cs="Arial"/>
        </w:rPr>
        <w:t xml:space="preserve"> </w:t>
      </w:r>
      <w:r>
        <w:rPr>
          <w:rFonts w:ascii="Arial" w:eastAsia="Arial" w:hAnsi="Arial" w:cs="Arial"/>
        </w:rPr>
        <w:tab/>
        <w:t xml:space="preserve"> </w:t>
      </w:r>
      <w:r>
        <w:rPr>
          <w:rFonts w:ascii="Arial" w:eastAsia="Arial" w:hAnsi="Arial" w:cs="Arial"/>
        </w:rPr>
        <w:tab/>
      </w:r>
      <w:r>
        <w:rPr>
          <w:rFonts w:ascii="Arial" w:eastAsia="Arial" w:hAnsi="Arial" w:cs="Arial"/>
          <w:b/>
        </w:rPr>
        <w:t xml:space="preserve">Estado de Ingresos </w:t>
      </w:r>
      <w:r>
        <w:rPr>
          <w:rFonts w:ascii="Arial" w:eastAsia="Arial" w:hAnsi="Arial" w:cs="Arial"/>
          <w:b/>
        </w:rPr>
        <w:tab/>
        <w:t xml:space="preserve"> </w:t>
      </w:r>
    </w:p>
    <w:tbl>
      <w:tblPr>
        <w:tblStyle w:val="TableGrid"/>
        <w:tblW w:w="8891" w:type="dxa"/>
        <w:tblInd w:w="431" w:type="dxa"/>
        <w:tblCellMar>
          <w:top w:w="5" w:type="dxa"/>
          <w:left w:w="68" w:type="dxa"/>
          <w:bottom w:w="0" w:type="dxa"/>
          <w:right w:w="7" w:type="dxa"/>
        </w:tblCellMar>
        <w:tblLook w:val="04A0" w:firstRow="1" w:lastRow="0" w:firstColumn="1" w:lastColumn="0" w:noHBand="0" w:noVBand="1"/>
      </w:tblPr>
      <w:tblGrid>
        <w:gridCol w:w="1423"/>
        <w:gridCol w:w="1082"/>
        <w:gridCol w:w="5143"/>
        <w:gridCol w:w="1243"/>
      </w:tblGrid>
      <w:tr w:rsidR="00FA7413">
        <w:trPr>
          <w:trHeight w:val="262"/>
        </w:trPr>
        <w:tc>
          <w:tcPr>
            <w:tcW w:w="142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left="84"/>
            </w:pPr>
            <w:r>
              <w:rPr>
                <w:rFonts w:ascii="Arial" w:eastAsia="Arial" w:hAnsi="Arial" w:cs="Arial"/>
                <w:b/>
              </w:rPr>
              <w:t xml:space="preserve">Aplicación </w:t>
            </w:r>
          </w:p>
        </w:tc>
        <w:tc>
          <w:tcPr>
            <w:tcW w:w="1082"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left="2"/>
              <w:jc w:val="center"/>
            </w:pPr>
            <w:r>
              <w:rPr>
                <w:rFonts w:ascii="Arial" w:eastAsia="Arial" w:hAnsi="Arial" w:cs="Arial"/>
                <w:b/>
              </w:rPr>
              <w:t xml:space="preserve">  </w:t>
            </w:r>
          </w:p>
        </w:tc>
        <w:tc>
          <w:tcPr>
            <w:tcW w:w="514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right="58"/>
              <w:jc w:val="center"/>
            </w:pPr>
            <w:r>
              <w:rPr>
                <w:rFonts w:ascii="Arial" w:eastAsia="Arial" w:hAnsi="Arial" w:cs="Arial"/>
                <w:b/>
              </w:rPr>
              <w:t xml:space="preserve">Denominación </w:t>
            </w:r>
          </w:p>
        </w:tc>
        <w:tc>
          <w:tcPr>
            <w:tcW w:w="124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right="57"/>
              <w:jc w:val="center"/>
            </w:pPr>
            <w:r>
              <w:rPr>
                <w:rFonts w:ascii="Arial" w:eastAsia="Arial" w:hAnsi="Arial" w:cs="Arial"/>
                <w:b/>
              </w:rPr>
              <w:t xml:space="preserve">Importe </w:t>
            </w:r>
          </w:p>
        </w:tc>
      </w:tr>
      <w:tr w:rsidR="00FA7413">
        <w:trPr>
          <w:trHeight w:val="264"/>
        </w:trPr>
        <w:tc>
          <w:tcPr>
            <w:tcW w:w="142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64"/>
              <w:jc w:val="center"/>
            </w:pPr>
            <w:r>
              <w:rPr>
                <w:rFonts w:ascii="Arial" w:eastAsia="Arial" w:hAnsi="Arial" w:cs="Arial"/>
              </w:rPr>
              <w:t xml:space="preserve">870.00 </w:t>
            </w:r>
          </w:p>
        </w:tc>
        <w:tc>
          <w:tcPr>
            <w:tcW w:w="108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2"/>
              <w:jc w:val="center"/>
            </w:pPr>
            <w:r>
              <w:rPr>
                <w:rFonts w:ascii="Arial" w:eastAsia="Arial" w:hAnsi="Arial" w:cs="Arial"/>
              </w:rPr>
              <w:t xml:space="preserve">  </w:t>
            </w:r>
          </w:p>
        </w:tc>
        <w:tc>
          <w:tcPr>
            <w:tcW w:w="514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3"/>
            </w:pPr>
            <w:r>
              <w:rPr>
                <w:rFonts w:ascii="Arial" w:eastAsia="Arial" w:hAnsi="Arial" w:cs="Arial"/>
              </w:rPr>
              <w:t xml:space="preserve">Remanente de Tesorería para Gastos Generales  </w:t>
            </w:r>
          </w:p>
        </w:tc>
        <w:tc>
          <w:tcPr>
            <w:tcW w:w="124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4"/>
              <w:jc w:val="both"/>
            </w:pPr>
            <w:r>
              <w:rPr>
                <w:rFonts w:ascii="Arial" w:eastAsia="Arial" w:hAnsi="Arial" w:cs="Arial"/>
              </w:rPr>
              <w:t xml:space="preserve">496.821,47 </w:t>
            </w:r>
          </w:p>
        </w:tc>
      </w:tr>
      <w:tr w:rsidR="00FA7413">
        <w:trPr>
          <w:trHeight w:val="262"/>
        </w:trPr>
        <w:tc>
          <w:tcPr>
            <w:tcW w:w="142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pPr>
            <w:r>
              <w:rPr>
                <w:rFonts w:ascii="Arial" w:eastAsia="Arial" w:hAnsi="Arial" w:cs="Arial"/>
                <w:b/>
              </w:rPr>
              <w:t xml:space="preserve">  </w:t>
            </w:r>
          </w:p>
        </w:tc>
        <w:tc>
          <w:tcPr>
            <w:tcW w:w="1082"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left="2"/>
              <w:jc w:val="center"/>
            </w:pPr>
            <w:r>
              <w:rPr>
                <w:rFonts w:ascii="Arial" w:eastAsia="Arial" w:hAnsi="Arial" w:cs="Arial"/>
                <w:b/>
              </w:rPr>
              <w:t xml:space="preserve">  </w:t>
            </w:r>
          </w:p>
        </w:tc>
        <w:tc>
          <w:tcPr>
            <w:tcW w:w="514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right="64"/>
              <w:jc w:val="center"/>
            </w:pPr>
            <w:r>
              <w:rPr>
                <w:rFonts w:ascii="Arial" w:eastAsia="Arial" w:hAnsi="Arial" w:cs="Arial"/>
                <w:b/>
              </w:rPr>
              <w:t xml:space="preserve">TOTAL </w:t>
            </w:r>
          </w:p>
        </w:tc>
        <w:tc>
          <w:tcPr>
            <w:tcW w:w="124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left="4"/>
              <w:jc w:val="both"/>
            </w:pPr>
            <w:r>
              <w:rPr>
                <w:rFonts w:ascii="Arial" w:eastAsia="Arial" w:hAnsi="Arial" w:cs="Arial"/>
                <w:b/>
              </w:rPr>
              <w:t xml:space="preserve">496.821,47 </w:t>
            </w:r>
          </w:p>
        </w:tc>
      </w:tr>
    </w:tbl>
    <w:p w:rsidR="00FA7413" w:rsidRDefault="00D712A8">
      <w:pPr>
        <w:spacing w:after="11" w:line="248" w:lineRule="auto"/>
        <w:ind w:left="355" w:right="64" w:hanging="10"/>
        <w:jc w:val="both"/>
      </w:pPr>
      <w:r>
        <w:rPr>
          <w:rFonts w:ascii="Arial" w:eastAsia="Arial" w:hAnsi="Arial" w:cs="Arial"/>
        </w:rPr>
        <w:t xml:space="preserve">…/…”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 xml:space="preserve">Este Concejal Delegado de Hacienda, PROPONE al Pleno la adopción del siguiente ACUERDO: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b/>
        </w:rPr>
        <w:t>PRIMERO. -</w:t>
      </w:r>
      <w:r>
        <w:rPr>
          <w:rFonts w:ascii="Arial" w:eastAsia="Arial" w:hAnsi="Arial" w:cs="Arial"/>
        </w:rPr>
        <w:t xml:space="preserve"> </w:t>
      </w:r>
      <w:r>
        <w:rPr>
          <w:rFonts w:ascii="Arial" w:eastAsia="Arial" w:hAnsi="Arial" w:cs="Arial"/>
        </w:rPr>
        <w:t>Aprobar expediente de modificación presupuestaria nº 5897/2021, por Créditos Extraordinarios financiado con remanente de tesorería para gastos generales, se realizará por la cantidad total de 496.821,47 Euros, según el siguiente detalle:</w:t>
      </w:r>
      <w:r>
        <w:rPr>
          <w:rFonts w:ascii="Times New Roman" w:eastAsia="Times New Roman" w:hAnsi="Times New Roman" w:cs="Times New Roman"/>
          <w:sz w:val="24"/>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360"/>
      </w:pPr>
      <w:r>
        <w:rPr>
          <w:rFonts w:ascii="Arial" w:eastAsia="Arial" w:hAnsi="Arial" w:cs="Arial"/>
        </w:rPr>
        <w:t xml:space="preserve"> </w:t>
      </w:r>
    </w:p>
    <w:p w:rsidR="00FA7413" w:rsidRDefault="00D712A8">
      <w:pPr>
        <w:tabs>
          <w:tab w:val="center" w:pos="500"/>
          <w:tab w:val="center" w:pos="1925"/>
          <w:tab w:val="center" w:pos="5510"/>
          <w:tab w:val="center" w:pos="8702"/>
        </w:tabs>
        <w:spacing w:after="11" w:line="248" w:lineRule="auto"/>
      </w:pPr>
      <w:r>
        <w:tab/>
      </w:r>
      <w:r>
        <w:rPr>
          <w:rFonts w:ascii="Arial" w:eastAsia="Arial" w:hAnsi="Arial" w:cs="Arial"/>
        </w:rPr>
        <w:t xml:space="preserve"> </w:t>
      </w:r>
      <w:r>
        <w:rPr>
          <w:rFonts w:ascii="Arial" w:eastAsia="Arial" w:hAnsi="Arial" w:cs="Arial"/>
        </w:rPr>
        <w:tab/>
        <w:t xml:space="preserve"> </w:t>
      </w:r>
      <w:r>
        <w:rPr>
          <w:rFonts w:ascii="Arial" w:eastAsia="Arial" w:hAnsi="Arial" w:cs="Arial"/>
        </w:rPr>
        <w:tab/>
      </w:r>
      <w:r>
        <w:rPr>
          <w:rFonts w:ascii="Arial" w:eastAsia="Arial" w:hAnsi="Arial" w:cs="Arial"/>
          <w:b/>
        </w:rPr>
        <w:t xml:space="preserve">Estado de Gastos  </w:t>
      </w:r>
      <w:r>
        <w:rPr>
          <w:rFonts w:ascii="Arial" w:eastAsia="Arial" w:hAnsi="Arial" w:cs="Arial"/>
          <w:b/>
        </w:rPr>
        <w:tab/>
        <w:t xml:space="preserve"> </w:t>
      </w:r>
    </w:p>
    <w:tbl>
      <w:tblPr>
        <w:tblStyle w:val="TableGrid"/>
        <w:tblW w:w="8891" w:type="dxa"/>
        <w:tblInd w:w="431" w:type="dxa"/>
        <w:tblCellMar>
          <w:top w:w="5" w:type="dxa"/>
          <w:left w:w="68" w:type="dxa"/>
          <w:bottom w:w="6" w:type="dxa"/>
          <w:right w:w="7" w:type="dxa"/>
        </w:tblCellMar>
        <w:tblLook w:val="04A0" w:firstRow="1" w:lastRow="0" w:firstColumn="1" w:lastColumn="0" w:noHBand="0" w:noVBand="1"/>
      </w:tblPr>
      <w:tblGrid>
        <w:gridCol w:w="1423"/>
        <w:gridCol w:w="1082"/>
        <w:gridCol w:w="5143"/>
        <w:gridCol w:w="1243"/>
      </w:tblGrid>
      <w:tr w:rsidR="00FA7413">
        <w:trPr>
          <w:trHeight w:val="514"/>
        </w:trPr>
        <w:tc>
          <w:tcPr>
            <w:tcW w:w="1423"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FA7413" w:rsidRDefault="00D712A8">
            <w:pPr>
              <w:spacing w:after="0"/>
              <w:ind w:left="84"/>
            </w:pPr>
            <w:r>
              <w:rPr>
                <w:rFonts w:ascii="Arial" w:eastAsia="Arial" w:hAnsi="Arial" w:cs="Arial"/>
                <w:b/>
              </w:rPr>
              <w:t xml:space="preserve">Aplicación </w:t>
            </w:r>
          </w:p>
        </w:tc>
        <w:tc>
          <w:tcPr>
            <w:tcW w:w="1082"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jc w:val="center"/>
            </w:pPr>
            <w:r>
              <w:rPr>
                <w:rFonts w:ascii="Arial" w:eastAsia="Arial" w:hAnsi="Arial" w:cs="Arial"/>
                <w:b/>
              </w:rPr>
              <w:t xml:space="preserve">Proyecto gasto </w:t>
            </w:r>
          </w:p>
        </w:tc>
        <w:tc>
          <w:tcPr>
            <w:tcW w:w="5143"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FA7413" w:rsidRDefault="00D712A8">
            <w:pPr>
              <w:spacing w:after="0"/>
              <w:ind w:right="58"/>
              <w:jc w:val="center"/>
            </w:pPr>
            <w:r>
              <w:rPr>
                <w:rFonts w:ascii="Arial" w:eastAsia="Arial" w:hAnsi="Arial" w:cs="Arial"/>
                <w:b/>
              </w:rPr>
              <w:t xml:space="preserve">Denominación </w:t>
            </w:r>
          </w:p>
        </w:tc>
        <w:tc>
          <w:tcPr>
            <w:tcW w:w="1243"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FA7413" w:rsidRDefault="00D712A8">
            <w:pPr>
              <w:spacing w:after="0"/>
              <w:ind w:right="57"/>
              <w:jc w:val="center"/>
            </w:pPr>
            <w:r>
              <w:rPr>
                <w:rFonts w:ascii="Arial" w:eastAsia="Arial" w:hAnsi="Arial" w:cs="Arial"/>
                <w:b/>
              </w:rPr>
              <w:t xml:space="preserve">Importe </w:t>
            </w:r>
          </w:p>
        </w:tc>
      </w:tr>
      <w:tr w:rsidR="00FA7413">
        <w:trPr>
          <w:trHeight w:val="517"/>
        </w:trPr>
        <w:tc>
          <w:tcPr>
            <w:tcW w:w="1423" w:type="dxa"/>
            <w:tcBorders>
              <w:top w:val="single" w:sz="4" w:space="0" w:color="000000"/>
              <w:left w:val="single" w:sz="4" w:space="0" w:color="000000"/>
              <w:bottom w:val="single" w:sz="4" w:space="0" w:color="000000"/>
              <w:right w:val="single" w:sz="4" w:space="0" w:color="000000"/>
            </w:tcBorders>
            <w:vAlign w:val="bottom"/>
          </w:tcPr>
          <w:p w:rsidR="00FA7413" w:rsidRDefault="00D712A8">
            <w:pPr>
              <w:spacing w:after="0"/>
              <w:jc w:val="both"/>
            </w:pPr>
            <w:r>
              <w:rPr>
                <w:rFonts w:ascii="Arial" w:eastAsia="Arial" w:hAnsi="Arial" w:cs="Arial"/>
              </w:rPr>
              <w:t xml:space="preserve">41400.61901 </w:t>
            </w:r>
          </w:p>
        </w:tc>
        <w:tc>
          <w:tcPr>
            <w:tcW w:w="1082" w:type="dxa"/>
            <w:tcBorders>
              <w:top w:val="single" w:sz="4" w:space="0" w:color="000000"/>
              <w:left w:val="single" w:sz="4" w:space="0" w:color="000000"/>
              <w:bottom w:val="single" w:sz="4" w:space="0" w:color="000000"/>
              <w:right w:val="single" w:sz="4" w:space="0" w:color="000000"/>
            </w:tcBorders>
            <w:vAlign w:val="bottom"/>
          </w:tcPr>
          <w:p w:rsidR="00FA7413" w:rsidRDefault="00D712A8">
            <w:pPr>
              <w:spacing w:after="0"/>
              <w:ind w:left="2"/>
              <w:jc w:val="both"/>
            </w:pPr>
            <w:r>
              <w:rPr>
                <w:rFonts w:ascii="Arial" w:eastAsia="Arial" w:hAnsi="Arial" w:cs="Arial"/>
              </w:rPr>
              <w:t xml:space="preserve">P.21.2.38 </w:t>
            </w:r>
          </w:p>
        </w:tc>
        <w:tc>
          <w:tcPr>
            <w:tcW w:w="514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3"/>
            </w:pPr>
            <w:r>
              <w:rPr>
                <w:rFonts w:ascii="Arial" w:eastAsia="Arial" w:hAnsi="Arial" w:cs="Arial"/>
              </w:rPr>
              <w:t xml:space="preserve">Repavimentación tramo urbano camino rural Los Asomaderos </w:t>
            </w:r>
          </w:p>
        </w:tc>
        <w:tc>
          <w:tcPr>
            <w:tcW w:w="1243" w:type="dxa"/>
            <w:tcBorders>
              <w:top w:val="single" w:sz="4" w:space="0" w:color="000000"/>
              <w:left w:val="single" w:sz="4" w:space="0" w:color="000000"/>
              <w:bottom w:val="single" w:sz="4" w:space="0" w:color="000000"/>
              <w:right w:val="single" w:sz="4" w:space="0" w:color="000000"/>
            </w:tcBorders>
            <w:vAlign w:val="bottom"/>
          </w:tcPr>
          <w:p w:rsidR="00FA7413" w:rsidRDefault="00D712A8">
            <w:pPr>
              <w:spacing w:after="0"/>
              <w:ind w:left="4"/>
              <w:jc w:val="both"/>
            </w:pPr>
            <w:r>
              <w:rPr>
                <w:rFonts w:ascii="Arial" w:eastAsia="Arial" w:hAnsi="Arial" w:cs="Arial"/>
              </w:rPr>
              <w:t xml:space="preserve">444.816,59 </w:t>
            </w:r>
          </w:p>
        </w:tc>
      </w:tr>
      <w:tr w:rsidR="00FA7413">
        <w:trPr>
          <w:trHeight w:val="264"/>
        </w:trPr>
        <w:tc>
          <w:tcPr>
            <w:tcW w:w="1423" w:type="dxa"/>
            <w:tcBorders>
              <w:top w:val="single" w:sz="4" w:space="0" w:color="000000"/>
              <w:left w:val="single" w:sz="4" w:space="0" w:color="000000"/>
              <w:bottom w:val="single" w:sz="4" w:space="0" w:color="000000"/>
              <w:right w:val="single" w:sz="4" w:space="0" w:color="000000"/>
            </w:tcBorders>
          </w:tcPr>
          <w:p w:rsidR="00FA7413" w:rsidRDefault="00D712A8">
            <w:pPr>
              <w:spacing w:after="0"/>
              <w:jc w:val="both"/>
            </w:pPr>
            <w:r>
              <w:rPr>
                <w:rFonts w:ascii="Arial" w:eastAsia="Arial" w:hAnsi="Arial" w:cs="Arial"/>
              </w:rPr>
              <w:t xml:space="preserve">32300.21201 </w:t>
            </w:r>
          </w:p>
        </w:tc>
        <w:tc>
          <w:tcPr>
            <w:tcW w:w="108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2"/>
              <w:jc w:val="both"/>
            </w:pPr>
            <w:r>
              <w:rPr>
                <w:rFonts w:ascii="Arial" w:eastAsia="Arial" w:hAnsi="Arial" w:cs="Arial"/>
              </w:rPr>
              <w:t xml:space="preserve">P.21.2.38 </w:t>
            </w:r>
          </w:p>
        </w:tc>
        <w:tc>
          <w:tcPr>
            <w:tcW w:w="514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3"/>
            </w:pPr>
            <w:r>
              <w:rPr>
                <w:rFonts w:ascii="Arial" w:eastAsia="Arial" w:hAnsi="Arial" w:cs="Arial"/>
              </w:rPr>
              <w:t xml:space="preserve">Obras Accesibilidad CEIP Príncipe Felipe </w:t>
            </w:r>
          </w:p>
        </w:tc>
        <w:tc>
          <w:tcPr>
            <w:tcW w:w="124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126"/>
            </w:pPr>
            <w:r>
              <w:rPr>
                <w:rFonts w:ascii="Arial" w:eastAsia="Arial" w:hAnsi="Arial" w:cs="Arial"/>
              </w:rPr>
              <w:t xml:space="preserve">39.761,13 </w:t>
            </w:r>
          </w:p>
        </w:tc>
      </w:tr>
      <w:tr w:rsidR="00FA7413">
        <w:trPr>
          <w:trHeight w:val="264"/>
        </w:trPr>
        <w:tc>
          <w:tcPr>
            <w:tcW w:w="1423" w:type="dxa"/>
            <w:tcBorders>
              <w:top w:val="single" w:sz="4" w:space="0" w:color="000000"/>
              <w:left w:val="single" w:sz="4" w:space="0" w:color="000000"/>
              <w:bottom w:val="single" w:sz="4" w:space="0" w:color="000000"/>
              <w:right w:val="single" w:sz="4" w:space="0" w:color="000000"/>
            </w:tcBorders>
          </w:tcPr>
          <w:p w:rsidR="00FA7413" w:rsidRDefault="00D712A8">
            <w:pPr>
              <w:spacing w:after="0"/>
              <w:jc w:val="both"/>
            </w:pPr>
            <w:r>
              <w:rPr>
                <w:rFonts w:ascii="Arial" w:eastAsia="Arial" w:hAnsi="Arial" w:cs="Arial"/>
              </w:rPr>
              <w:t xml:space="preserve">32300.21202 </w:t>
            </w:r>
          </w:p>
        </w:tc>
        <w:tc>
          <w:tcPr>
            <w:tcW w:w="108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2"/>
              <w:jc w:val="both"/>
            </w:pPr>
            <w:r>
              <w:rPr>
                <w:rFonts w:ascii="Arial" w:eastAsia="Arial" w:hAnsi="Arial" w:cs="Arial"/>
              </w:rPr>
              <w:t xml:space="preserve">P.21.2.38 </w:t>
            </w:r>
          </w:p>
        </w:tc>
        <w:tc>
          <w:tcPr>
            <w:tcW w:w="514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3"/>
            </w:pPr>
            <w:r>
              <w:rPr>
                <w:rFonts w:ascii="Arial" w:eastAsia="Arial" w:hAnsi="Arial" w:cs="Arial"/>
              </w:rPr>
              <w:t xml:space="preserve">Obra Fugas de agua CEIP Punta Larga </w:t>
            </w:r>
          </w:p>
        </w:tc>
        <w:tc>
          <w:tcPr>
            <w:tcW w:w="124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126"/>
            </w:pPr>
            <w:r>
              <w:rPr>
                <w:rFonts w:ascii="Arial" w:eastAsia="Arial" w:hAnsi="Arial" w:cs="Arial"/>
              </w:rPr>
              <w:t xml:space="preserve">12.243,75 </w:t>
            </w:r>
          </w:p>
        </w:tc>
      </w:tr>
      <w:tr w:rsidR="00FA7413">
        <w:trPr>
          <w:trHeight w:val="260"/>
        </w:trPr>
        <w:tc>
          <w:tcPr>
            <w:tcW w:w="142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pPr>
            <w:r>
              <w:rPr>
                <w:rFonts w:ascii="Arial" w:eastAsia="Arial" w:hAnsi="Arial" w:cs="Arial"/>
                <w:b/>
              </w:rPr>
              <w:t xml:space="preserve">  </w:t>
            </w:r>
          </w:p>
        </w:tc>
        <w:tc>
          <w:tcPr>
            <w:tcW w:w="1082"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left="2"/>
              <w:jc w:val="center"/>
            </w:pPr>
            <w:r>
              <w:rPr>
                <w:rFonts w:ascii="Arial" w:eastAsia="Arial" w:hAnsi="Arial" w:cs="Arial"/>
                <w:b/>
              </w:rPr>
              <w:t xml:space="preserve">  </w:t>
            </w:r>
          </w:p>
        </w:tc>
        <w:tc>
          <w:tcPr>
            <w:tcW w:w="514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right="64"/>
              <w:jc w:val="center"/>
            </w:pPr>
            <w:r>
              <w:rPr>
                <w:rFonts w:ascii="Arial" w:eastAsia="Arial" w:hAnsi="Arial" w:cs="Arial"/>
                <w:b/>
              </w:rPr>
              <w:t xml:space="preserve">TOTAL </w:t>
            </w:r>
          </w:p>
        </w:tc>
        <w:tc>
          <w:tcPr>
            <w:tcW w:w="124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left="4"/>
              <w:jc w:val="both"/>
            </w:pPr>
            <w:r>
              <w:rPr>
                <w:rFonts w:ascii="Arial" w:eastAsia="Arial" w:hAnsi="Arial" w:cs="Arial"/>
                <w:b/>
              </w:rPr>
              <w:t>496.821,47</w:t>
            </w:r>
            <w:r>
              <w:rPr>
                <w:rFonts w:ascii="Times New Roman" w:eastAsia="Times New Roman" w:hAnsi="Times New Roman" w:cs="Times New Roman"/>
                <w:sz w:val="24"/>
              </w:rPr>
              <w:t xml:space="preserve"> </w:t>
            </w:r>
          </w:p>
        </w:tc>
      </w:tr>
    </w:tbl>
    <w:p w:rsidR="00FA7413" w:rsidRDefault="00D712A8">
      <w:pPr>
        <w:spacing w:after="0"/>
        <w:ind w:left="1784"/>
      </w:pPr>
      <w:r>
        <w:rPr>
          <w:rFonts w:ascii="Arial" w:eastAsia="Arial" w:hAnsi="Arial" w:cs="Arial"/>
          <w:b/>
        </w:rPr>
        <w:t xml:space="preserve"> </w:t>
      </w: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p>
    <w:p w:rsidR="00FA7413" w:rsidRDefault="00D712A8">
      <w:pPr>
        <w:tabs>
          <w:tab w:val="center" w:pos="500"/>
          <w:tab w:val="center" w:pos="1925"/>
          <w:tab w:val="center" w:pos="5510"/>
          <w:tab w:val="center" w:pos="8702"/>
        </w:tabs>
        <w:spacing w:after="11" w:line="248" w:lineRule="auto"/>
      </w:pPr>
      <w:r>
        <w:tab/>
      </w:r>
      <w:r>
        <w:rPr>
          <w:rFonts w:ascii="Arial" w:eastAsia="Arial" w:hAnsi="Arial" w:cs="Arial"/>
        </w:rPr>
        <w:t xml:space="preserve"> </w:t>
      </w:r>
      <w:r>
        <w:rPr>
          <w:rFonts w:ascii="Arial" w:eastAsia="Arial" w:hAnsi="Arial" w:cs="Arial"/>
        </w:rPr>
        <w:tab/>
        <w:t xml:space="preserve"> </w:t>
      </w:r>
      <w:r>
        <w:rPr>
          <w:rFonts w:ascii="Arial" w:eastAsia="Arial" w:hAnsi="Arial" w:cs="Arial"/>
        </w:rPr>
        <w:tab/>
      </w:r>
      <w:r>
        <w:rPr>
          <w:rFonts w:ascii="Arial" w:eastAsia="Arial" w:hAnsi="Arial" w:cs="Arial"/>
          <w:b/>
        </w:rPr>
        <w:t xml:space="preserve">Estado de Ingresos </w:t>
      </w:r>
      <w:r>
        <w:rPr>
          <w:rFonts w:ascii="Arial" w:eastAsia="Arial" w:hAnsi="Arial" w:cs="Arial"/>
          <w:b/>
        </w:rPr>
        <w:tab/>
        <w:t xml:space="preserve"> </w:t>
      </w:r>
    </w:p>
    <w:tbl>
      <w:tblPr>
        <w:tblStyle w:val="TableGrid"/>
        <w:tblW w:w="8891" w:type="dxa"/>
        <w:tblInd w:w="431" w:type="dxa"/>
        <w:tblCellMar>
          <w:top w:w="5" w:type="dxa"/>
          <w:left w:w="68" w:type="dxa"/>
          <w:bottom w:w="0" w:type="dxa"/>
          <w:right w:w="7" w:type="dxa"/>
        </w:tblCellMar>
        <w:tblLook w:val="04A0" w:firstRow="1" w:lastRow="0" w:firstColumn="1" w:lastColumn="0" w:noHBand="0" w:noVBand="1"/>
      </w:tblPr>
      <w:tblGrid>
        <w:gridCol w:w="1423"/>
        <w:gridCol w:w="1082"/>
        <w:gridCol w:w="5143"/>
        <w:gridCol w:w="1243"/>
      </w:tblGrid>
      <w:tr w:rsidR="00FA7413">
        <w:trPr>
          <w:trHeight w:val="259"/>
        </w:trPr>
        <w:tc>
          <w:tcPr>
            <w:tcW w:w="142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left="84"/>
            </w:pPr>
            <w:r>
              <w:rPr>
                <w:rFonts w:ascii="Arial" w:eastAsia="Arial" w:hAnsi="Arial" w:cs="Arial"/>
                <w:b/>
              </w:rPr>
              <w:t xml:space="preserve">Aplicación </w:t>
            </w:r>
          </w:p>
        </w:tc>
        <w:tc>
          <w:tcPr>
            <w:tcW w:w="1082"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left="2"/>
              <w:jc w:val="center"/>
            </w:pPr>
            <w:r>
              <w:rPr>
                <w:rFonts w:ascii="Arial" w:eastAsia="Arial" w:hAnsi="Arial" w:cs="Arial"/>
                <w:b/>
              </w:rPr>
              <w:t xml:space="preserve">  </w:t>
            </w:r>
          </w:p>
        </w:tc>
        <w:tc>
          <w:tcPr>
            <w:tcW w:w="514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right="58"/>
              <w:jc w:val="center"/>
            </w:pPr>
            <w:r>
              <w:rPr>
                <w:rFonts w:ascii="Arial" w:eastAsia="Arial" w:hAnsi="Arial" w:cs="Arial"/>
                <w:b/>
              </w:rPr>
              <w:t xml:space="preserve">Denominación </w:t>
            </w:r>
          </w:p>
        </w:tc>
        <w:tc>
          <w:tcPr>
            <w:tcW w:w="124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right="57"/>
              <w:jc w:val="center"/>
            </w:pPr>
            <w:r>
              <w:rPr>
                <w:rFonts w:ascii="Arial" w:eastAsia="Arial" w:hAnsi="Arial" w:cs="Arial"/>
                <w:b/>
              </w:rPr>
              <w:t xml:space="preserve">Importe </w:t>
            </w:r>
          </w:p>
        </w:tc>
      </w:tr>
      <w:tr w:rsidR="00FA7413">
        <w:trPr>
          <w:trHeight w:val="266"/>
        </w:trPr>
        <w:tc>
          <w:tcPr>
            <w:tcW w:w="142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64"/>
              <w:jc w:val="center"/>
            </w:pPr>
            <w:r>
              <w:rPr>
                <w:rFonts w:ascii="Arial" w:eastAsia="Arial" w:hAnsi="Arial" w:cs="Arial"/>
              </w:rPr>
              <w:t xml:space="preserve">870.00 </w:t>
            </w:r>
          </w:p>
        </w:tc>
        <w:tc>
          <w:tcPr>
            <w:tcW w:w="108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2"/>
              <w:jc w:val="center"/>
            </w:pPr>
            <w:r>
              <w:rPr>
                <w:rFonts w:ascii="Arial" w:eastAsia="Arial" w:hAnsi="Arial" w:cs="Arial"/>
              </w:rPr>
              <w:t xml:space="preserve">  </w:t>
            </w:r>
          </w:p>
        </w:tc>
        <w:tc>
          <w:tcPr>
            <w:tcW w:w="514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3"/>
            </w:pPr>
            <w:r>
              <w:rPr>
                <w:rFonts w:ascii="Arial" w:eastAsia="Arial" w:hAnsi="Arial" w:cs="Arial"/>
              </w:rPr>
              <w:t xml:space="preserve">Remanente de Tesorería para Gastos Generales  </w:t>
            </w:r>
          </w:p>
        </w:tc>
        <w:tc>
          <w:tcPr>
            <w:tcW w:w="124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4"/>
              <w:jc w:val="both"/>
            </w:pPr>
            <w:r>
              <w:rPr>
                <w:rFonts w:ascii="Arial" w:eastAsia="Arial" w:hAnsi="Arial" w:cs="Arial"/>
              </w:rPr>
              <w:t xml:space="preserve">496.821,47 </w:t>
            </w:r>
          </w:p>
        </w:tc>
      </w:tr>
      <w:tr w:rsidR="00FA7413">
        <w:trPr>
          <w:trHeight w:val="260"/>
        </w:trPr>
        <w:tc>
          <w:tcPr>
            <w:tcW w:w="142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pPr>
            <w:r>
              <w:rPr>
                <w:rFonts w:ascii="Arial" w:eastAsia="Arial" w:hAnsi="Arial" w:cs="Arial"/>
                <w:b/>
              </w:rPr>
              <w:t xml:space="preserve">  </w:t>
            </w:r>
          </w:p>
        </w:tc>
        <w:tc>
          <w:tcPr>
            <w:tcW w:w="1082"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left="2"/>
              <w:jc w:val="center"/>
            </w:pPr>
            <w:r>
              <w:rPr>
                <w:rFonts w:ascii="Arial" w:eastAsia="Arial" w:hAnsi="Arial" w:cs="Arial"/>
                <w:b/>
              </w:rPr>
              <w:t xml:space="preserve">  </w:t>
            </w:r>
          </w:p>
        </w:tc>
        <w:tc>
          <w:tcPr>
            <w:tcW w:w="514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right="64"/>
              <w:jc w:val="center"/>
            </w:pPr>
            <w:r>
              <w:rPr>
                <w:rFonts w:ascii="Arial" w:eastAsia="Arial" w:hAnsi="Arial" w:cs="Arial"/>
                <w:b/>
              </w:rPr>
              <w:t xml:space="preserve">TOTAL </w:t>
            </w:r>
          </w:p>
        </w:tc>
        <w:tc>
          <w:tcPr>
            <w:tcW w:w="124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left="4"/>
              <w:jc w:val="both"/>
            </w:pPr>
            <w:r>
              <w:rPr>
                <w:rFonts w:ascii="Arial" w:eastAsia="Arial" w:hAnsi="Arial" w:cs="Arial"/>
                <w:b/>
              </w:rPr>
              <w:t xml:space="preserve">496.821,47 </w:t>
            </w:r>
          </w:p>
        </w:tc>
      </w:tr>
    </w:tbl>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line="248" w:lineRule="auto"/>
        <w:ind w:left="355" w:right="64" w:hanging="10"/>
        <w:jc w:val="both"/>
      </w:pPr>
      <w:r>
        <w:rPr>
          <w:rFonts w:ascii="Arial" w:eastAsia="Arial" w:hAnsi="Arial" w:cs="Arial"/>
          <w:b/>
        </w:rPr>
        <w:t>SEGUNDO</w:t>
      </w:r>
      <w:r>
        <w:rPr>
          <w:rFonts w:ascii="Arial" w:eastAsia="Arial" w:hAnsi="Arial" w:cs="Arial"/>
        </w:rPr>
        <w:t>. - Exponer este expediente al público mediante anuncio publicado en el Boletín Oficial de la Provincia, por 15 días, durante los cuales los interesados podrán examinarlo y presentar reclamaciones ante el Pleno.</w:t>
      </w:r>
      <w:r>
        <w:rPr>
          <w:rFonts w:ascii="Times New Roman" w:eastAsia="Times New Roman" w:hAnsi="Times New Roman" w:cs="Times New Roman"/>
          <w:sz w:val="24"/>
        </w:rPr>
        <w:t xml:space="preserve"> </w:t>
      </w:r>
    </w:p>
    <w:p w:rsidR="00FA7413" w:rsidRDefault="00D712A8">
      <w:pPr>
        <w:spacing w:after="0"/>
        <w:ind w:left="1068"/>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b/>
        </w:rPr>
        <w:t>TERCERO</w:t>
      </w:r>
      <w:r>
        <w:rPr>
          <w:rFonts w:ascii="Arial" w:eastAsia="Arial" w:hAnsi="Arial" w:cs="Arial"/>
        </w:rPr>
        <w:t xml:space="preserve">. - </w:t>
      </w:r>
      <w:r>
        <w:rPr>
          <w:rFonts w:ascii="Arial" w:eastAsia="Arial" w:hAnsi="Arial" w:cs="Arial"/>
        </w:rPr>
        <w:t xml:space="preserve">El expediente se considerará definitivamente aprobado si durante el citado plazo no se hubiesen presentado reclamaciones, en caso contrario el Pleno dispondrá de un mes para resolverlas. El expediente definitivamente aprobado, será insertado en el boletín </w:t>
      </w:r>
      <w:r>
        <w:rPr>
          <w:rFonts w:ascii="Arial" w:eastAsia="Arial" w:hAnsi="Arial" w:cs="Arial"/>
        </w:rPr>
        <w:t>oficial de la provincia.”</w:t>
      </w:r>
      <w:r>
        <w:rPr>
          <w:rFonts w:ascii="Times New Roman" w:eastAsia="Times New Roman" w:hAnsi="Times New Roman" w:cs="Times New Roman"/>
          <w:sz w:val="24"/>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2" w:hanging="10"/>
        <w:jc w:val="both"/>
      </w:pPr>
      <w:r>
        <w:rPr>
          <w:rFonts w:ascii="Arial" w:eastAsia="Arial" w:hAnsi="Arial" w:cs="Arial"/>
          <w:b/>
        </w:rPr>
        <w:t xml:space="preserve">DICTAMEN FAVORABLE DE LA COMISIÓN INFORMATIVA DE HACIENDA, RECURSOS HUMANOS Y SERVICIOS GENERALES DE 21 DE JUNIO DE 2021.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355" w:right="64" w:hanging="10"/>
        <w:jc w:val="both"/>
      </w:pPr>
      <w:r>
        <w:rPr>
          <w:rFonts w:ascii="Arial" w:eastAsia="Arial" w:hAnsi="Arial" w:cs="Arial"/>
        </w:rPr>
        <w:t xml:space="preserve">Votos a favor: 4. </w:t>
      </w:r>
    </w:p>
    <w:p w:rsidR="00FA7413" w:rsidRDefault="00D712A8">
      <w:pPr>
        <w:spacing w:after="0" w:line="248" w:lineRule="auto"/>
        <w:ind w:left="355" w:right="64" w:hanging="10"/>
        <w:jc w:val="both"/>
      </w:pPr>
      <w:r>
        <w:rPr>
          <w:rFonts w:ascii="Arial" w:eastAsia="Arial" w:hAnsi="Arial" w:cs="Arial"/>
        </w:rPr>
        <w:t xml:space="preserve">4 concejales del Grupo Socialista: Don Airam Pérez Chinea, Don José Francisco Pinto Ramos, Doña Hilaria Cecilia Otazo González, Doña Margarita Eva Tendero Barroso.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noProof/>
        </w:rPr>
        <mc:AlternateContent>
          <mc:Choice Requires="wpg">
            <w:drawing>
              <wp:anchor distT="0" distB="0" distL="114300" distR="114300" simplePos="0" relativeHeight="251681792"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199959" name="Group 199959"/>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3558" name="Rectangle 3558"/>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Cód. Validación: 946JAL4TJAGYNDDM76ZM7ZAYZ | Verificación: https://candelaria.sedelect</w:t>
                              </w:r>
                              <w:r>
                                <w:rPr>
                                  <w:rFonts w:ascii="Arial" w:eastAsia="Arial" w:hAnsi="Arial" w:cs="Arial"/>
                                  <w:sz w:val="12"/>
                                </w:rPr>
                                <w:t xml:space="preserve">ronica.es/ </w:t>
                              </w:r>
                            </w:p>
                          </w:txbxContent>
                        </wps:txbx>
                        <wps:bodyPr horzOverflow="overflow" vert="horz" lIns="0" tIns="0" rIns="0" bIns="0" rtlCol="0">
                          <a:noAutofit/>
                        </wps:bodyPr>
                      </wps:wsp>
                      <wps:wsp>
                        <wps:cNvPr id="3559" name="Rectangle 3559"/>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22 de 180 </w:t>
                              </w:r>
                            </w:p>
                          </w:txbxContent>
                        </wps:txbx>
                        <wps:bodyPr horzOverflow="overflow" vert="horz" lIns="0" tIns="0" rIns="0" bIns="0" rtlCol="0">
                          <a:noAutofit/>
                        </wps:bodyPr>
                      </wps:wsp>
                    </wpg:wgp>
                  </a:graphicData>
                </a:graphic>
              </wp:anchor>
            </w:drawing>
          </mc:Choice>
          <mc:Fallback xmlns:a="http://schemas.openxmlformats.org/drawingml/2006/main">
            <w:pict>
              <v:group id="Group 199959" style="width:12.7031pt;height:275.586pt;position:absolute;mso-position-horizontal-relative:page;mso-position-horizontal:absolute;margin-left:682.278pt;mso-position-vertical-relative:page;margin-top:536.334pt;" coordsize="1613,34999">
                <v:rect id="Rectangle 3558"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3559"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 de 180 </w:t>
                        </w:r>
                      </w:p>
                    </w:txbxContent>
                  </v:textbox>
                </v:rect>
                <w10:wrap type="square"/>
              </v:group>
            </w:pict>
          </mc:Fallback>
        </mc:AlternateContent>
      </w:r>
      <w:r>
        <w:rPr>
          <w:rFonts w:ascii="Arial" w:eastAsia="Arial" w:hAnsi="Arial" w:cs="Arial"/>
        </w:rPr>
        <w:t xml:space="preserve">Votos en contra: 0.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Abstenciones: 3.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1 de la concejal del Grupo Popular, Doña Raquel Martín Castro.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1 de la concejal del Grupo Mixto (SSP):</w:t>
      </w:r>
      <w:r>
        <w:rPr>
          <w:rFonts w:ascii="Arial" w:eastAsia="Arial" w:hAnsi="Arial" w:cs="Arial"/>
        </w:rPr>
        <w:t xml:space="preserve"> Doña Lourdes del Carmen Mondéjar Rondón.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1 de la concejal del Grupo Mixto (CC): Doña Ángela Cruz Perera.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2" w:hanging="10"/>
        <w:jc w:val="both"/>
      </w:pPr>
      <w:r>
        <w:rPr>
          <w:rFonts w:ascii="Arial" w:eastAsia="Arial" w:hAnsi="Arial" w:cs="Arial"/>
          <w:b/>
        </w:rPr>
        <w:t xml:space="preserve">JUNTA DE PORTAVOCES DE 21 DE JUNIO DE 2021.  </w:t>
      </w:r>
    </w:p>
    <w:p w:rsidR="00FA7413" w:rsidRDefault="00D712A8">
      <w:pPr>
        <w:spacing w:after="11" w:line="248" w:lineRule="auto"/>
        <w:ind w:left="355" w:right="64" w:hanging="10"/>
        <w:jc w:val="both"/>
      </w:pPr>
      <w:r>
        <w:rPr>
          <w:rFonts w:ascii="Arial" w:eastAsia="Arial" w:hAnsi="Arial" w:cs="Arial"/>
        </w:rPr>
        <w:t xml:space="preserve">Quedó oída.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355" w:right="62" w:hanging="10"/>
        <w:jc w:val="both"/>
      </w:pPr>
      <w:r>
        <w:rPr>
          <w:rFonts w:ascii="Arial" w:eastAsia="Arial" w:hAnsi="Arial" w:cs="Arial"/>
          <w:b/>
        </w:rPr>
        <w:t xml:space="preserve">VOTACIÓN EN EL PLENO DE  24 DE JUNIO DE 2021.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1078" w:right="64" w:hanging="10"/>
        <w:jc w:val="both"/>
      </w:pPr>
      <w:r>
        <w:rPr>
          <w:rFonts w:ascii="Arial" w:eastAsia="Arial" w:hAnsi="Arial" w:cs="Arial"/>
        </w:rPr>
        <w:t xml:space="preserve">Votos a favor: 17. </w:t>
      </w:r>
    </w:p>
    <w:p w:rsidR="00FA7413" w:rsidRDefault="00D712A8">
      <w:pPr>
        <w:spacing w:after="0" w:line="248" w:lineRule="auto"/>
        <w:ind w:left="345" w:right="64" w:firstLine="708"/>
        <w:jc w:val="both"/>
      </w:pPr>
      <w:r>
        <w:rPr>
          <w:rFonts w:ascii="Arial" w:eastAsia="Arial" w:hAnsi="Arial" w:cs="Arial"/>
        </w:rPr>
        <w:t>11 concejales del Grupo Socialista: Doña María Concepción Brito Núñez, Don Jorge Baute Delgado, Doña Olivia Concepción Pérez Díaz, Don José Francisco Pinto Ramos, Doña Hilaria Cecilia Otazo González, Don Airam Pérez Chinea, Doña Margarita Eva Tendero Barro</w:t>
      </w:r>
      <w:r>
        <w:rPr>
          <w:rFonts w:ascii="Arial" w:eastAsia="Arial" w:hAnsi="Arial" w:cs="Arial"/>
        </w:rPr>
        <w:t xml:space="preserve">so, Don Manuel Alberto González Pestano, Doña María del Carmen Clemente Díaz, Don Olegario Francisco Alonso Bello y Don Reinaldo José Triviño Blanco. </w:t>
      </w:r>
    </w:p>
    <w:p w:rsidR="00FA7413" w:rsidRDefault="00D712A8">
      <w:pPr>
        <w:spacing w:after="109" w:line="248" w:lineRule="auto"/>
        <w:ind w:left="345" w:right="64" w:firstLine="708"/>
        <w:jc w:val="both"/>
      </w:pPr>
      <w:r>
        <w:rPr>
          <w:rFonts w:ascii="Arial" w:eastAsia="Arial" w:hAnsi="Arial" w:cs="Arial"/>
        </w:rPr>
        <w:t>3 concejales del Grupo Popular: Don Andrés Rodríguez Delgado, Don Jacobo López Fariña y Doña Raquel Martí</w:t>
      </w:r>
      <w:r>
        <w:rPr>
          <w:rFonts w:ascii="Arial" w:eastAsia="Arial" w:hAnsi="Arial" w:cs="Arial"/>
        </w:rPr>
        <w:t xml:space="preserve">n Castro. </w:t>
      </w:r>
    </w:p>
    <w:p w:rsidR="00FA7413" w:rsidRDefault="00D712A8">
      <w:pPr>
        <w:spacing w:after="109" w:line="248" w:lineRule="auto"/>
        <w:ind w:left="345" w:right="64" w:firstLine="708"/>
        <w:jc w:val="both"/>
      </w:pPr>
      <w:r>
        <w:rPr>
          <w:rFonts w:ascii="Arial" w:eastAsia="Arial" w:hAnsi="Arial" w:cs="Arial"/>
        </w:rPr>
        <w:t xml:space="preserve">3 de los concejales del Grupo Mixto: Don Antonio Delgado García y Doña Lourdes del Carmen Mondéjar Rondón (SSP) y  Doña Ángela Cruz Perera (CC). </w:t>
      </w:r>
    </w:p>
    <w:p w:rsidR="00FA7413" w:rsidRDefault="00D712A8">
      <w:pPr>
        <w:spacing w:after="109" w:line="248" w:lineRule="auto"/>
        <w:ind w:left="1078" w:right="64" w:hanging="10"/>
        <w:jc w:val="both"/>
      </w:pPr>
      <w:r>
        <w:rPr>
          <w:rFonts w:ascii="Arial" w:eastAsia="Arial" w:hAnsi="Arial" w:cs="Arial"/>
        </w:rPr>
        <w:t xml:space="preserve">Votos en contra: 0. </w:t>
      </w:r>
    </w:p>
    <w:p w:rsidR="00FA7413" w:rsidRDefault="00D712A8">
      <w:pPr>
        <w:spacing w:after="109" w:line="248" w:lineRule="auto"/>
        <w:ind w:left="1078" w:right="64" w:hanging="10"/>
        <w:jc w:val="both"/>
      </w:pPr>
      <w:r>
        <w:rPr>
          <w:rFonts w:ascii="Arial" w:eastAsia="Arial" w:hAnsi="Arial" w:cs="Arial"/>
        </w:rPr>
        <w:t xml:space="preserve">Abstenciones: 1. </w:t>
      </w:r>
    </w:p>
    <w:p w:rsidR="00FA7413" w:rsidRDefault="00D712A8">
      <w:pPr>
        <w:spacing w:after="109" w:line="248" w:lineRule="auto"/>
        <w:ind w:left="1078" w:right="64" w:hanging="10"/>
        <w:jc w:val="both"/>
      </w:pPr>
      <w:r>
        <w:rPr>
          <w:rFonts w:ascii="Arial" w:eastAsia="Arial" w:hAnsi="Arial" w:cs="Arial"/>
        </w:rPr>
        <w:t xml:space="preserve">1 de la concejal del Grupo Mixto (VxC): Doña Alicia Mercedes Marrero Meneses.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1789" w:right="62" w:hanging="10"/>
        <w:jc w:val="both"/>
      </w:pPr>
      <w:r>
        <w:rPr>
          <w:rFonts w:ascii="Arial" w:eastAsia="Arial" w:hAnsi="Arial" w:cs="Arial"/>
          <w:b/>
        </w:rPr>
        <w:t xml:space="preserve">ACUERDO DEL PLENO DE 24 DE JUNIO DE 2021. </w:t>
      </w:r>
    </w:p>
    <w:p w:rsidR="00FA7413" w:rsidRDefault="00D712A8">
      <w:pPr>
        <w:spacing w:after="0"/>
        <w:ind w:left="1779"/>
      </w:pP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PRIMERO. - Aprobar expediente de modificación presupuestaria nº 5897/2021, por Créditos Extraordinarios financiado con remanente</w:t>
      </w:r>
      <w:r>
        <w:rPr>
          <w:rFonts w:ascii="Arial" w:eastAsia="Arial" w:hAnsi="Arial" w:cs="Arial"/>
          <w:b/>
        </w:rPr>
        <w:t xml:space="preserve"> de tesorería para gastos generales, se realizará por la cantidad total de 496.821,47 Euros, según el siguiente detalle: </w:t>
      </w:r>
    </w:p>
    <w:p w:rsidR="00FA7413" w:rsidRDefault="00D712A8">
      <w:pPr>
        <w:spacing w:after="0"/>
        <w:ind w:left="1068"/>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tabs>
          <w:tab w:val="center" w:pos="500"/>
          <w:tab w:val="center" w:pos="1925"/>
          <w:tab w:val="center" w:pos="5510"/>
          <w:tab w:val="center" w:pos="8702"/>
        </w:tabs>
        <w:spacing w:after="11" w:line="248" w:lineRule="auto"/>
      </w:pPr>
      <w:r>
        <w:rPr>
          <w:noProof/>
        </w:rPr>
        <mc:AlternateContent>
          <mc:Choice Requires="wpg">
            <w:drawing>
              <wp:anchor distT="0" distB="0" distL="114300" distR="114300" simplePos="0" relativeHeight="251682816"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03331" name="Group 203331"/>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3915" name="Rectangle 3915"/>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3916" name="Rectangle 3916"/>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Documento firmado electróni</w:t>
                              </w:r>
                              <w:r>
                                <w:rPr>
                                  <w:rFonts w:ascii="Arial" w:eastAsia="Arial" w:hAnsi="Arial" w:cs="Arial"/>
                                  <w:sz w:val="12"/>
                                </w:rPr>
                                <w:t xml:space="preserve">camente desde la plataforma esPublico Gestiona | Página 23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3331" style="width:12.7031pt;height:275.586pt;position:absolute;mso-position-horizontal-relative:page;mso-position-horizontal:absolute;margin-left:682.278pt;mso-position-vertical-relative:page;margin-top:536.334pt;" coordsize="1613,34999">
                <v:rect id="Rectangle 3915"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3916"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 de 180 </w:t>
                        </w:r>
                      </w:p>
                    </w:txbxContent>
                  </v:textbox>
                </v:rect>
                <w10:wrap type="square"/>
              </v:group>
            </w:pict>
          </mc:Fallback>
        </mc:AlternateContent>
      </w:r>
      <w:r>
        <w:tab/>
      </w:r>
      <w:r>
        <w:rPr>
          <w:rFonts w:ascii="Arial" w:eastAsia="Arial" w:hAnsi="Arial" w:cs="Arial"/>
          <w:b/>
        </w:rPr>
        <w:t xml:space="preserve"> </w:t>
      </w:r>
      <w:r>
        <w:rPr>
          <w:rFonts w:ascii="Arial" w:eastAsia="Arial" w:hAnsi="Arial" w:cs="Arial"/>
          <w:b/>
        </w:rPr>
        <w:tab/>
        <w:t xml:space="preserve"> </w:t>
      </w:r>
      <w:r>
        <w:rPr>
          <w:rFonts w:ascii="Arial" w:eastAsia="Arial" w:hAnsi="Arial" w:cs="Arial"/>
          <w:b/>
        </w:rPr>
        <w:tab/>
        <w:t xml:space="preserve">Estado de Gastos  </w:t>
      </w:r>
      <w:r>
        <w:rPr>
          <w:rFonts w:ascii="Arial" w:eastAsia="Arial" w:hAnsi="Arial" w:cs="Arial"/>
          <w:b/>
        </w:rPr>
        <w:tab/>
        <w:t xml:space="preserve"> </w:t>
      </w:r>
    </w:p>
    <w:tbl>
      <w:tblPr>
        <w:tblStyle w:val="TableGrid"/>
        <w:tblW w:w="8891" w:type="dxa"/>
        <w:tblInd w:w="431" w:type="dxa"/>
        <w:tblCellMar>
          <w:top w:w="5" w:type="dxa"/>
          <w:left w:w="68" w:type="dxa"/>
          <w:bottom w:w="8" w:type="dxa"/>
          <w:right w:w="7" w:type="dxa"/>
        </w:tblCellMar>
        <w:tblLook w:val="04A0" w:firstRow="1" w:lastRow="0" w:firstColumn="1" w:lastColumn="0" w:noHBand="0" w:noVBand="1"/>
      </w:tblPr>
      <w:tblGrid>
        <w:gridCol w:w="1423"/>
        <w:gridCol w:w="1082"/>
        <w:gridCol w:w="5143"/>
        <w:gridCol w:w="1243"/>
      </w:tblGrid>
      <w:tr w:rsidR="00FA7413">
        <w:trPr>
          <w:trHeight w:val="514"/>
        </w:trPr>
        <w:tc>
          <w:tcPr>
            <w:tcW w:w="1423"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FA7413" w:rsidRDefault="00D712A8">
            <w:pPr>
              <w:spacing w:after="0"/>
              <w:ind w:left="84"/>
            </w:pPr>
            <w:r>
              <w:rPr>
                <w:rFonts w:ascii="Arial" w:eastAsia="Arial" w:hAnsi="Arial" w:cs="Arial"/>
                <w:b/>
              </w:rPr>
              <w:t xml:space="preserve">Aplicación </w:t>
            </w:r>
          </w:p>
        </w:tc>
        <w:tc>
          <w:tcPr>
            <w:tcW w:w="1082"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jc w:val="center"/>
            </w:pPr>
            <w:r>
              <w:rPr>
                <w:rFonts w:ascii="Arial" w:eastAsia="Arial" w:hAnsi="Arial" w:cs="Arial"/>
                <w:b/>
              </w:rPr>
              <w:t xml:space="preserve">Proyecto gasto </w:t>
            </w:r>
          </w:p>
        </w:tc>
        <w:tc>
          <w:tcPr>
            <w:tcW w:w="5143"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FA7413" w:rsidRDefault="00D712A8">
            <w:pPr>
              <w:spacing w:after="0"/>
              <w:ind w:right="58"/>
              <w:jc w:val="center"/>
            </w:pPr>
            <w:r>
              <w:rPr>
                <w:rFonts w:ascii="Arial" w:eastAsia="Arial" w:hAnsi="Arial" w:cs="Arial"/>
                <w:b/>
              </w:rPr>
              <w:t xml:space="preserve">Denominación </w:t>
            </w:r>
          </w:p>
        </w:tc>
        <w:tc>
          <w:tcPr>
            <w:tcW w:w="1243"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FA7413" w:rsidRDefault="00D712A8">
            <w:pPr>
              <w:spacing w:after="0"/>
              <w:ind w:right="57"/>
              <w:jc w:val="center"/>
            </w:pPr>
            <w:r>
              <w:rPr>
                <w:rFonts w:ascii="Arial" w:eastAsia="Arial" w:hAnsi="Arial" w:cs="Arial"/>
                <w:b/>
              </w:rPr>
              <w:t xml:space="preserve">Importe </w:t>
            </w:r>
          </w:p>
        </w:tc>
      </w:tr>
      <w:tr w:rsidR="00FA7413">
        <w:trPr>
          <w:trHeight w:val="517"/>
        </w:trPr>
        <w:tc>
          <w:tcPr>
            <w:tcW w:w="1423" w:type="dxa"/>
            <w:tcBorders>
              <w:top w:val="single" w:sz="4" w:space="0" w:color="000000"/>
              <w:left w:val="single" w:sz="4" w:space="0" w:color="000000"/>
              <w:bottom w:val="single" w:sz="4" w:space="0" w:color="000000"/>
              <w:right w:val="single" w:sz="4" w:space="0" w:color="000000"/>
            </w:tcBorders>
            <w:vAlign w:val="bottom"/>
          </w:tcPr>
          <w:p w:rsidR="00FA7413" w:rsidRDefault="00D712A8">
            <w:pPr>
              <w:spacing w:after="0"/>
              <w:jc w:val="both"/>
            </w:pPr>
            <w:r>
              <w:rPr>
                <w:rFonts w:ascii="Arial" w:eastAsia="Arial" w:hAnsi="Arial" w:cs="Arial"/>
                <w:b/>
              </w:rPr>
              <w:t xml:space="preserve">41400.61901 </w:t>
            </w:r>
          </w:p>
        </w:tc>
        <w:tc>
          <w:tcPr>
            <w:tcW w:w="1082" w:type="dxa"/>
            <w:tcBorders>
              <w:top w:val="single" w:sz="4" w:space="0" w:color="000000"/>
              <w:left w:val="single" w:sz="4" w:space="0" w:color="000000"/>
              <w:bottom w:val="single" w:sz="4" w:space="0" w:color="000000"/>
              <w:right w:val="single" w:sz="4" w:space="0" w:color="000000"/>
            </w:tcBorders>
            <w:vAlign w:val="bottom"/>
          </w:tcPr>
          <w:p w:rsidR="00FA7413" w:rsidRDefault="00D712A8">
            <w:pPr>
              <w:spacing w:after="0"/>
              <w:ind w:left="2"/>
              <w:jc w:val="both"/>
            </w:pPr>
            <w:r>
              <w:rPr>
                <w:rFonts w:ascii="Arial" w:eastAsia="Arial" w:hAnsi="Arial" w:cs="Arial"/>
                <w:b/>
              </w:rPr>
              <w:t xml:space="preserve">P.21.2.38 </w:t>
            </w:r>
          </w:p>
        </w:tc>
        <w:tc>
          <w:tcPr>
            <w:tcW w:w="514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3"/>
              <w:jc w:val="both"/>
            </w:pPr>
            <w:r>
              <w:rPr>
                <w:rFonts w:ascii="Arial" w:eastAsia="Arial" w:hAnsi="Arial" w:cs="Arial"/>
                <w:b/>
              </w:rPr>
              <w:t xml:space="preserve">Repavimentación tramo urbano camino rural Los Asomaderos </w:t>
            </w:r>
          </w:p>
        </w:tc>
        <w:tc>
          <w:tcPr>
            <w:tcW w:w="1243" w:type="dxa"/>
            <w:tcBorders>
              <w:top w:val="single" w:sz="4" w:space="0" w:color="000000"/>
              <w:left w:val="single" w:sz="4" w:space="0" w:color="000000"/>
              <w:bottom w:val="single" w:sz="4" w:space="0" w:color="000000"/>
              <w:right w:val="single" w:sz="4" w:space="0" w:color="000000"/>
            </w:tcBorders>
            <w:vAlign w:val="bottom"/>
          </w:tcPr>
          <w:p w:rsidR="00FA7413" w:rsidRDefault="00D712A8">
            <w:pPr>
              <w:spacing w:after="0"/>
              <w:ind w:left="4"/>
              <w:jc w:val="both"/>
            </w:pPr>
            <w:r>
              <w:rPr>
                <w:rFonts w:ascii="Arial" w:eastAsia="Arial" w:hAnsi="Arial" w:cs="Arial"/>
                <w:b/>
              </w:rPr>
              <w:t xml:space="preserve">444.816,59 </w:t>
            </w:r>
          </w:p>
        </w:tc>
      </w:tr>
      <w:tr w:rsidR="00FA7413">
        <w:trPr>
          <w:trHeight w:val="264"/>
        </w:trPr>
        <w:tc>
          <w:tcPr>
            <w:tcW w:w="1423" w:type="dxa"/>
            <w:tcBorders>
              <w:top w:val="single" w:sz="4" w:space="0" w:color="000000"/>
              <w:left w:val="single" w:sz="4" w:space="0" w:color="000000"/>
              <w:bottom w:val="single" w:sz="4" w:space="0" w:color="000000"/>
              <w:right w:val="single" w:sz="4" w:space="0" w:color="000000"/>
            </w:tcBorders>
          </w:tcPr>
          <w:p w:rsidR="00FA7413" w:rsidRDefault="00D712A8">
            <w:pPr>
              <w:spacing w:after="0"/>
              <w:jc w:val="both"/>
            </w:pPr>
            <w:r>
              <w:rPr>
                <w:rFonts w:ascii="Arial" w:eastAsia="Arial" w:hAnsi="Arial" w:cs="Arial"/>
                <w:b/>
              </w:rPr>
              <w:t xml:space="preserve">32300.21201 </w:t>
            </w:r>
          </w:p>
        </w:tc>
        <w:tc>
          <w:tcPr>
            <w:tcW w:w="108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2"/>
              <w:jc w:val="both"/>
            </w:pPr>
            <w:r>
              <w:rPr>
                <w:rFonts w:ascii="Arial" w:eastAsia="Arial" w:hAnsi="Arial" w:cs="Arial"/>
                <w:b/>
              </w:rPr>
              <w:t xml:space="preserve">P.21.2.38 </w:t>
            </w:r>
          </w:p>
        </w:tc>
        <w:tc>
          <w:tcPr>
            <w:tcW w:w="514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3"/>
            </w:pPr>
            <w:r>
              <w:rPr>
                <w:rFonts w:ascii="Arial" w:eastAsia="Arial" w:hAnsi="Arial" w:cs="Arial"/>
                <w:b/>
              </w:rPr>
              <w:t xml:space="preserve">Obras Accesibilidad CEIP Príncipe Felipe </w:t>
            </w:r>
          </w:p>
        </w:tc>
        <w:tc>
          <w:tcPr>
            <w:tcW w:w="124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126"/>
            </w:pPr>
            <w:r>
              <w:rPr>
                <w:rFonts w:ascii="Arial" w:eastAsia="Arial" w:hAnsi="Arial" w:cs="Arial"/>
                <w:b/>
              </w:rPr>
              <w:t xml:space="preserve">39.761,13 </w:t>
            </w:r>
          </w:p>
        </w:tc>
      </w:tr>
      <w:tr w:rsidR="00FA7413">
        <w:trPr>
          <w:trHeight w:val="263"/>
        </w:trPr>
        <w:tc>
          <w:tcPr>
            <w:tcW w:w="1423" w:type="dxa"/>
            <w:tcBorders>
              <w:top w:val="single" w:sz="4" w:space="0" w:color="000000"/>
              <w:left w:val="single" w:sz="4" w:space="0" w:color="000000"/>
              <w:bottom w:val="single" w:sz="4" w:space="0" w:color="000000"/>
              <w:right w:val="single" w:sz="4" w:space="0" w:color="000000"/>
            </w:tcBorders>
          </w:tcPr>
          <w:p w:rsidR="00FA7413" w:rsidRDefault="00D712A8">
            <w:pPr>
              <w:spacing w:after="0"/>
              <w:jc w:val="both"/>
            </w:pPr>
            <w:r>
              <w:rPr>
                <w:rFonts w:ascii="Arial" w:eastAsia="Arial" w:hAnsi="Arial" w:cs="Arial"/>
                <w:b/>
              </w:rPr>
              <w:t xml:space="preserve">32300.21202 </w:t>
            </w:r>
          </w:p>
        </w:tc>
        <w:tc>
          <w:tcPr>
            <w:tcW w:w="108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2"/>
              <w:jc w:val="both"/>
            </w:pPr>
            <w:r>
              <w:rPr>
                <w:rFonts w:ascii="Arial" w:eastAsia="Arial" w:hAnsi="Arial" w:cs="Arial"/>
                <w:b/>
              </w:rPr>
              <w:t xml:space="preserve">P.21.2.38 </w:t>
            </w:r>
          </w:p>
        </w:tc>
        <w:tc>
          <w:tcPr>
            <w:tcW w:w="514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3"/>
            </w:pPr>
            <w:r>
              <w:rPr>
                <w:rFonts w:ascii="Arial" w:eastAsia="Arial" w:hAnsi="Arial" w:cs="Arial"/>
                <w:b/>
              </w:rPr>
              <w:t xml:space="preserve">Obra Fugas de agua CEIP Punta Larga </w:t>
            </w:r>
          </w:p>
        </w:tc>
        <w:tc>
          <w:tcPr>
            <w:tcW w:w="124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126"/>
            </w:pPr>
            <w:r>
              <w:rPr>
                <w:rFonts w:ascii="Arial" w:eastAsia="Arial" w:hAnsi="Arial" w:cs="Arial"/>
                <w:b/>
              </w:rPr>
              <w:t xml:space="preserve">12.243,75 </w:t>
            </w:r>
          </w:p>
        </w:tc>
      </w:tr>
      <w:tr w:rsidR="00FA7413">
        <w:trPr>
          <w:trHeight w:val="262"/>
        </w:trPr>
        <w:tc>
          <w:tcPr>
            <w:tcW w:w="142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pPr>
            <w:r>
              <w:rPr>
                <w:rFonts w:ascii="Arial" w:eastAsia="Arial" w:hAnsi="Arial" w:cs="Arial"/>
                <w:b/>
              </w:rPr>
              <w:t xml:space="preserve">  </w:t>
            </w:r>
          </w:p>
        </w:tc>
        <w:tc>
          <w:tcPr>
            <w:tcW w:w="1082"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left="2"/>
              <w:jc w:val="center"/>
            </w:pPr>
            <w:r>
              <w:rPr>
                <w:rFonts w:ascii="Arial" w:eastAsia="Arial" w:hAnsi="Arial" w:cs="Arial"/>
                <w:b/>
              </w:rPr>
              <w:t xml:space="preserve">  </w:t>
            </w:r>
          </w:p>
        </w:tc>
        <w:tc>
          <w:tcPr>
            <w:tcW w:w="514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right="64"/>
              <w:jc w:val="center"/>
            </w:pPr>
            <w:r>
              <w:rPr>
                <w:rFonts w:ascii="Arial" w:eastAsia="Arial" w:hAnsi="Arial" w:cs="Arial"/>
                <w:b/>
              </w:rPr>
              <w:t xml:space="preserve">TOTAL </w:t>
            </w:r>
          </w:p>
        </w:tc>
        <w:tc>
          <w:tcPr>
            <w:tcW w:w="124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left="4"/>
              <w:jc w:val="both"/>
            </w:pPr>
            <w:r>
              <w:rPr>
                <w:rFonts w:ascii="Arial" w:eastAsia="Arial" w:hAnsi="Arial" w:cs="Arial"/>
                <w:b/>
              </w:rPr>
              <w:t>496.821,47</w:t>
            </w:r>
            <w:r>
              <w:rPr>
                <w:rFonts w:ascii="Times New Roman" w:eastAsia="Times New Roman" w:hAnsi="Times New Roman" w:cs="Times New Roman"/>
                <w:sz w:val="24"/>
              </w:rPr>
              <w:t xml:space="preserve"> </w:t>
            </w:r>
          </w:p>
        </w:tc>
      </w:tr>
    </w:tbl>
    <w:p w:rsidR="00FA7413" w:rsidRDefault="00D712A8">
      <w:pPr>
        <w:spacing w:after="0"/>
        <w:ind w:left="1784"/>
      </w:pPr>
      <w:r>
        <w:rPr>
          <w:rFonts w:ascii="Arial" w:eastAsia="Arial" w:hAnsi="Arial" w:cs="Arial"/>
          <w:b/>
        </w:rPr>
        <w:t xml:space="preserve">  </w:t>
      </w:r>
      <w:r>
        <w:rPr>
          <w:rFonts w:ascii="Arial" w:eastAsia="Arial" w:hAnsi="Arial" w:cs="Arial"/>
          <w:b/>
        </w:rPr>
        <w:tab/>
        <w:t xml:space="preserve"> </w:t>
      </w:r>
      <w:r>
        <w:rPr>
          <w:rFonts w:ascii="Arial" w:eastAsia="Arial" w:hAnsi="Arial" w:cs="Arial"/>
          <w:b/>
        </w:rPr>
        <w:tab/>
        <w:t xml:space="preserve"> </w:t>
      </w:r>
    </w:p>
    <w:p w:rsidR="00FA7413" w:rsidRDefault="00D712A8">
      <w:pPr>
        <w:tabs>
          <w:tab w:val="center" w:pos="500"/>
          <w:tab w:val="center" w:pos="1925"/>
          <w:tab w:val="center" w:pos="5510"/>
          <w:tab w:val="center" w:pos="8702"/>
        </w:tabs>
        <w:spacing w:after="11" w:line="248" w:lineRule="auto"/>
      </w:pPr>
      <w:r>
        <w:tab/>
      </w:r>
      <w:r>
        <w:rPr>
          <w:rFonts w:ascii="Arial" w:eastAsia="Arial" w:hAnsi="Arial" w:cs="Arial"/>
          <w:b/>
        </w:rPr>
        <w:t xml:space="preserve"> </w:t>
      </w:r>
      <w:r>
        <w:rPr>
          <w:rFonts w:ascii="Arial" w:eastAsia="Arial" w:hAnsi="Arial" w:cs="Arial"/>
          <w:b/>
        </w:rPr>
        <w:tab/>
        <w:t xml:space="preserve"> </w:t>
      </w:r>
      <w:r>
        <w:rPr>
          <w:rFonts w:ascii="Arial" w:eastAsia="Arial" w:hAnsi="Arial" w:cs="Arial"/>
          <w:b/>
        </w:rPr>
        <w:tab/>
        <w:t xml:space="preserve">Estado de Ingresos </w:t>
      </w:r>
      <w:r>
        <w:rPr>
          <w:rFonts w:ascii="Arial" w:eastAsia="Arial" w:hAnsi="Arial" w:cs="Arial"/>
          <w:b/>
        </w:rPr>
        <w:tab/>
        <w:t xml:space="preserve"> </w:t>
      </w:r>
    </w:p>
    <w:tbl>
      <w:tblPr>
        <w:tblStyle w:val="TableGrid"/>
        <w:tblW w:w="8891" w:type="dxa"/>
        <w:tblInd w:w="431" w:type="dxa"/>
        <w:tblCellMar>
          <w:top w:w="5" w:type="dxa"/>
          <w:left w:w="68" w:type="dxa"/>
          <w:bottom w:w="8" w:type="dxa"/>
          <w:right w:w="7" w:type="dxa"/>
        </w:tblCellMar>
        <w:tblLook w:val="04A0" w:firstRow="1" w:lastRow="0" w:firstColumn="1" w:lastColumn="0" w:noHBand="0" w:noVBand="1"/>
      </w:tblPr>
      <w:tblGrid>
        <w:gridCol w:w="1423"/>
        <w:gridCol w:w="1082"/>
        <w:gridCol w:w="5143"/>
        <w:gridCol w:w="1243"/>
      </w:tblGrid>
      <w:tr w:rsidR="00FA7413">
        <w:trPr>
          <w:trHeight w:val="259"/>
        </w:trPr>
        <w:tc>
          <w:tcPr>
            <w:tcW w:w="142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left="84"/>
            </w:pPr>
            <w:r>
              <w:rPr>
                <w:rFonts w:ascii="Arial" w:eastAsia="Arial" w:hAnsi="Arial" w:cs="Arial"/>
                <w:b/>
              </w:rPr>
              <w:t xml:space="preserve">Aplicación </w:t>
            </w:r>
          </w:p>
        </w:tc>
        <w:tc>
          <w:tcPr>
            <w:tcW w:w="1082"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left="2"/>
              <w:jc w:val="center"/>
            </w:pPr>
            <w:r>
              <w:rPr>
                <w:rFonts w:ascii="Arial" w:eastAsia="Arial" w:hAnsi="Arial" w:cs="Arial"/>
                <w:b/>
              </w:rPr>
              <w:t xml:space="preserve">  </w:t>
            </w:r>
          </w:p>
        </w:tc>
        <w:tc>
          <w:tcPr>
            <w:tcW w:w="514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right="58"/>
              <w:jc w:val="center"/>
            </w:pPr>
            <w:r>
              <w:rPr>
                <w:rFonts w:ascii="Arial" w:eastAsia="Arial" w:hAnsi="Arial" w:cs="Arial"/>
                <w:b/>
              </w:rPr>
              <w:t xml:space="preserve">Denominación </w:t>
            </w:r>
          </w:p>
        </w:tc>
        <w:tc>
          <w:tcPr>
            <w:tcW w:w="124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right="57"/>
              <w:jc w:val="center"/>
            </w:pPr>
            <w:r>
              <w:rPr>
                <w:rFonts w:ascii="Arial" w:eastAsia="Arial" w:hAnsi="Arial" w:cs="Arial"/>
                <w:b/>
              </w:rPr>
              <w:t xml:space="preserve">Importe </w:t>
            </w:r>
          </w:p>
        </w:tc>
      </w:tr>
      <w:tr w:rsidR="00FA7413">
        <w:trPr>
          <w:trHeight w:val="520"/>
        </w:trPr>
        <w:tc>
          <w:tcPr>
            <w:tcW w:w="1423" w:type="dxa"/>
            <w:tcBorders>
              <w:top w:val="single" w:sz="4" w:space="0" w:color="000000"/>
              <w:left w:val="single" w:sz="4" w:space="0" w:color="000000"/>
              <w:bottom w:val="single" w:sz="4" w:space="0" w:color="000000"/>
              <w:right w:val="single" w:sz="4" w:space="0" w:color="000000"/>
            </w:tcBorders>
            <w:vAlign w:val="bottom"/>
          </w:tcPr>
          <w:p w:rsidR="00FA7413" w:rsidRDefault="00D712A8">
            <w:pPr>
              <w:spacing w:after="0"/>
              <w:ind w:right="64"/>
              <w:jc w:val="center"/>
            </w:pPr>
            <w:r>
              <w:rPr>
                <w:rFonts w:ascii="Arial" w:eastAsia="Arial" w:hAnsi="Arial" w:cs="Arial"/>
                <w:b/>
              </w:rPr>
              <w:t xml:space="preserve">870.00 </w:t>
            </w:r>
          </w:p>
        </w:tc>
        <w:tc>
          <w:tcPr>
            <w:tcW w:w="1082" w:type="dxa"/>
            <w:tcBorders>
              <w:top w:val="single" w:sz="4" w:space="0" w:color="000000"/>
              <w:left w:val="single" w:sz="4" w:space="0" w:color="000000"/>
              <w:bottom w:val="single" w:sz="4" w:space="0" w:color="000000"/>
              <w:right w:val="single" w:sz="4" w:space="0" w:color="000000"/>
            </w:tcBorders>
            <w:vAlign w:val="bottom"/>
          </w:tcPr>
          <w:p w:rsidR="00FA7413" w:rsidRDefault="00D712A8">
            <w:pPr>
              <w:spacing w:after="0"/>
              <w:ind w:left="2"/>
              <w:jc w:val="center"/>
            </w:pPr>
            <w:r>
              <w:rPr>
                <w:rFonts w:ascii="Arial" w:eastAsia="Arial" w:hAnsi="Arial" w:cs="Arial"/>
                <w:b/>
              </w:rPr>
              <w:t xml:space="preserve">  </w:t>
            </w:r>
          </w:p>
        </w:tc>
        <w:tc>
          <w:tcPr>
            <w:tcW w:w="514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3"/>
              <w:jc w:val="both"/>
            </w:pPr>
            <w:r>
              <w:rPr>
                <w:rFonts w:ascii="Arial" w:eastAsia="Arial" w:hAnsi="Arial" w:cs="Arial"/>
                <w:b/>
              </w:rPr>
              <w:t xml:space="preserve">Remanente de Tesorería para Gastos Generales  </w:t>
            </w:r>
          </w:p>
        </w:tc>
        <w:tc>
          <w:tcPr>
            <w:tcW w:w="1243" w:type="dxa"/>
            <w:tcBorders>
              <w:top w:val="single" w:sz="4" w:space="0" w:color="000000"/>
              <w:left w:val="single" w:sz="4" w:space="0" w:color="000000"/>
              <w:bottom w:val="single" w:sz="4" w:space="0" w:color="000000"/>
              <w:right w:val="single" w:sz="4" w:space="0" w:color="000000"/>
            </w:tcBorders>
            <w:vAlign w:val="bottom"/>
          </w:tcPr>
          <w:p w:rsidR="00FA7413" w:rsidRDefault="00D712A8">
            <w:pPr>
              <w:spacing w:after="0"/>
              <w:ind w:left="4"/>
              <w:jc w:val="both"/>
            </w:pPr>
            <w:r>
              <w:rPr>
                <w:rFonts w:ascii="Arial" w:eastAsia="Arial" w:hAnsi="Arial" w:cs="Arial"/>
                <w:b/>
              </w:rPr>
              <w:t xml:space="preserve">496.821,47 </w:t>
            </w:r>
          </w:p>
        </w:tc>
      </w:tr>
      <w:tr w:rsidR="00FA7413">
        <w:trPr>
          <w:trHeight w:val="260"/>
        </w:trPr>
        <w:tc>
          <w:tcPr>
            <w:tcW w:w="142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pPr>
            <w:r>
              <w:rPr>
                <w:rFonts w:ascii="Arial" w:eastAsia="Arial" w:hAnsi="Arial" w:cs="Arial"/>
                <w:b/>
              </w:rPr>
              <w:t xml:space="preserve">  </w:t>
            </w:r>
          </w:p>
        </w:tc>
        <w:tc>
          <w:tcPr>
            <w:tcW w:w="1082"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left="2"/>
              <w:jc w:val="center"/>
            </w:pPr>
            <w:r>
              <w:rPr>
                <w:rFonts w:ascii="Arial" w:eastAsia="Arial" w:hAnsi="Arial" w:cs="Arial"/>
                <w:b/>
              </w:rPr>
              <w:t xml:space="preserve">  </w:t>
            </w:r>
          </w:p>
        </w:tc>
        <w:tc>
          <w:tcPr>
            <w:tcW w:w="514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right="64"/>
              <w:jc w:val="center"/>
            </w:pPr>
            <w:r>
              <w:rPr>
                <w:rFonts w:ascii="Arial" w:eastAsia="Arial" w:hAnsi="Arial" w:cs="Arial"/>
                <w:b/>
              </w:rPr>
              <w:t xml:space="preserve">TOTAL </w:t>
            </w:r>
          </w:p>
        </w:tc>
        <w:tc>
          <w:tcPr>
            <w:tcW w:w="1243" w:type="dxa"/>
            <w:tcBorders>
              <w:top w:val="single" w:sz="4" w:space="0" w:color="000000"/>
              <w:left w:val="single" w:sz="4" w:space="0" w:color="000000"/>
              <w:bottom w:val="single" w:sz="4" w:space="0" w:color="000000"/>
              <w:right w:val="single" w:sz="4" w:space="0" w:color="000000"/>
            </w:tcBorders>
            <w:shd w:val="clear" w:color="auto" w:fill="BFBFBF"/>
          </w:tcPr>
          <w:p w:rsidR="00FA7413" w:rsidRDefault="00D712A8">
            <w:pPr>
              <w:spacing w:after="0"/>
              <w:ind w:left="4"/>
              <w:jc w:val="both"/>
            </w:pPr>
            <w:r>
              <w:rPr>
                <w:rFonts w:ascii="Arial" w:eastAsia="Arial" w:hAnsi="Arial" w:cs="Arial"/>
                <w:b/>
              </w:rPr>
              <w:t xml:space="preserve">496.821,47 </w:t>
            </w:r>
          </w:p>
        </w:tc>
      </w:tr>
    </w:tbl>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 xml:space="preserve">SEGUNDO. - </w:t>
      </w:r>
      <w:r>
        <w:rPr>
          <w:rFonts w:ascii="Arial" w:eastAsia="Arial" w:hAnsi="Arial" w:cs="Arial"/>
          <w:b/>
        </w:rPr>
        <w:t xml:space="preserve">Exponer este expediente al público mediante anuncio publicado en el Boletín Oficial de la Provincia, por 15 días, durante los cuales los interesados podrán examinarlo y presentar reclamaciones ante el Pleno. </w:t>
      </w:r>
    </w:p>
    <w:p w:rsidR="00FA7413" w:rsidRDefault="00D712A8">
      <w:pPr>
        <w:spacing w:after="0"/>
        <w:ind w:left="1068"/>
      </w:pPr>
      <w:r>
        <w:rPr>
          <w:rFonts w:ascii="Arial" w:eastAsia="Arial" w:hAnsi="Arial" w:cs="Arial"/>
          <w:b/>
        </w:rPr>
        <w:t xml:space="preserve"> </w:t>
      </w:r>
    </w:p>
    <w:p w:rsidR="00FA7413" w:rsidRDefault="00D712A8">
      <w:pPr>
        <w:spacing w:after="3" w:line="248" w:lineRule="auto"/>
        <w:ind w:left="355" w:right="62" w:hanging="10"/>
        <w:jc w:val="both"/>
      </w:pPr>
      <w:r>
        <w:rPr>
          <w:rFonts w:ascii="Arial" w:eastAsia="Arial" w:hAnsi="Arial" w:cs="Arial"/>
          <w:b/>
        </w:rPr>
        <w:t>TERCERO. - El expediente se considerará defin</w:t>
      </w:r>
      <w:r>
        <w:rPr>
          <w:rFonts w:ascii="Arial" w:eastAsia="Arial" w:hAnsi="Arial" w:cs="Arial"/>
          <w:b/>
        </w:rPr>
        <w:t xml:space="preserve">itivamente aprobado si durante el citado plazo no se hubiesen presentado reclamaciones, en caso contrario el Pleno dispondrá de un mes para resolverlas. El expediente definitivamente aprobado, será insertado en el boletín oficial de la provincia.” </w:t>
      </w:r>
    </w:p>
    <w:p w:rsidR="00FA7413" w:rsidRDefault="00D712A8">
      <w:pPr>
        <w:spacing w:after="28"/>
        <w:ind w:left="1068"/>
      </w:pPr>
      <w:r>
        <w:rPr>
          <w:rFonts w:ascii="Arial" w:eastAsia="Arial" w:hAnsi="Arial" w:cs="Arial"/>
          <w:b/>
        </w:rPr>
        <w:t xml:space="preserve"> </w:t>
      </w:r>
    </w:p>
    <w:p w:rsidR="00FA7413" w:rsidRDefault="00D712A8">
      <w:pPr>
        <w:spacing w:after="175"/>
        <w:ind w:left="360"/>
      </w:pPr>
      <w:r>
        <w:rPr>
          <w:rFonts w:ascii="Arial" w:eastAsia="Arial" w:hAnsi="Arial" w:cs="Arial"/>
          <w:i/>
          <w:color w:val="222222"/>
        </w:rPr>
        <w:t xml:space="preserve"> </w:t>
      </w:r>
    </w:p>
    <w:p w:rsidR="00FA7413" w:rsidRDefault="00D712A8">
      <w:pPr>
        <w:spacing w:after="131"/>
        <w:ind w:left="360"/>
      </w:pPr>
      <w:r>
        <w:rPr>
          <w:rFonts w:ascii="Arial" w:eastAsia="Arial" w:hAnsi="Arial" w:cs="Arial"/>
          <w:i/>
          <w:color w:val="222222"/>
        </w:rPr>
        <w:t xml:space="preserve"> </w:t>
      </w:r>
    </w:p>
    <w:p w:rsidR="00FA7413" w:rsidRDefault="00D712A8">
      <w:pPr>
        <w:spacing w:after="0"/>
        <w:ind w:left="360"/>
      </w:pPr>
      <w:r>
        <w:rPr>
          <w:rFonts w:ascii="Arial" w:eastAsia="Arial" w:hAnsi="Arial" w:cs="Arial"/>
          <w:i/>
          <w:color w:val="222222"/>
        </w:rPr>
        <w:t xml:space="preserve"> </w:t>
      </w:r>
    </w:p>
    <w:p w:rsidR="00FA7413" w:rsidRDefault="00D712A8">
      <w:pPr>
        <w:spacing w:after="117"/>
        <w:ind w:left="360"/>
      </w:pPr>
      <w:r>
        <w:rPr>
          <w:rFonts w:ascii="Arial" w:eastAsia="Arial" w:hAnsi="Arial" w:cs="Arial"/>
          <w:i/>
          <w:color w:val="222222"/>
        </w:rPr>
        <w:t xml:space="preserve"> </w:t>
      </w:r>
    </w:p>
    <w:p w:rsidR="00FA7413" w:rsidRDefault="00D712A8">
      <w:pPr>
        <w:spacing w:after="93" w:line="249" w:lineRule="auto"/>
        <w:ind w:left="355" w:right="66" w:hanging="10"/>
        <w:jc w:val="both"/>
      </w:pPr>
      <w:r>
        <w:rPr>
          <w:rFonts w:ascii="Arial" w:eastAsia="Arial" w:hAnsi="Arial" w:cs="Arial"/>
          <w:b/>
          <w:sz w:val="24"/>
        </w:rPr>
        <w:t>4.-</w:t>
      </w:r>
      <w:r>
        <w:rPr>
          <w:rFonts w:ascii="Arial" w:eastAsia="Arial" w:hAnsi="Arial" w:cs="Arial"/>
          <w:sz w:val="24"/>
        </w:rPr>
        <w:t xml:space="preserve"> </w:t>
      </w:r>
      <w:r>
        <w:rPr>
          <w:rFonts w:ascii="Arial" w:eastAsia="Arial" w:hAnsi="Arial" w:cs="Arial"/>
          <w:b/>
          <w:sz w:val="24"/>
        </w:rPr>
        <w:t>Expediente 2252/2020. Toma de conocimiento de la Sentencia del Tribunal Superior de Justicia de Canarias de fecha 30 de septiembre de 2008 por la que se desestima el recurso interpuesto por Simón Rueda Inmobiliaria S.L. contra el PGO de Candelaria.</w:t>
      </w:r>
      <w:r>
        <w:rPr>
          <w:rFonts w:ascii="Arial" w:eastAsia="Arial" w:hAnsi="Arial" w:cs="Arial"/>
          <w:sz w:val="24"/>
        </w:rPr>
        <w:t xml:space="preserve"> </w:t>
      </w:r>
    </w:p>
    <w:p w:rsidR="00FA7413" w:rsidRDefault="00D712A8">
      <w:pPr>
        <w:spacing w:after="98"/>
        <w:ind w:left="360"/>
      </w:pPr>
      <w:r>
        <w:rPr>
          <w:rFonts w:ascii="Arial" w:eastAsia="Arial" w:hAnsi="Arial" w:cs="Arial"/>
          <w:b/>
        </w:rPr>
        <w:t xml:space="preserve"> </w:t>
      </w:r>
    </w:p>
    <w:p w:rsidR="00FA7413" w:rsidRDefault="00D712A8">
      <w:pPr>
        <w:spacing w:after="112" w:line="248" w:lineRule="auto"/>
        <w:ind w:left="355" w:right="62" w:hanging="10"/>
        <w:jc w:val="both"/>
      </w:pPr>
      <w:r>
        <w:rPr>
          <w:rFonts w:ascii="Arial" w:eastAsia="Arial" w:hAnsi="Arial" w:cs="Arial"/>
          <w:b/>
        </w:rPr>
        <w:t>Consta en el expediente Informe Jurídico emitido por Don Octavio Manuel Fernández Hernández, que desempeña el puesto de trabajo de Secretario General, de 14 de junio de 2021, del siguiente tenor literal:</w:t>
      </w:r>
      <w:r>
        <w:rPr>
          <w:rFonts w:ascii="Arial" w:eastAsia="Arial" w:hAnsi="Arial" w:cs="Arial"/>
        </w:rPr>
        <w:t xml:space="preserve"> </w:t>
      </w:r>
    </w:p>
    <w:p w:rsidR="00FA7413" w:rsidRDefault="00D712A8">
      <w:pPr>
        <w:spacing w:after="103"/>
        <w:ind w:left="360"/>
      </w:pPr>
      <w:r>
        <w:rPr>
          <w:rFonts w:ascii="Arial" w:eastAsia="Arial" w:hAnsi="Arial" w:cs="Arial"/>
          <w:b/>
        </w:rPr>
        <w:t xml:space="preserve"> </w:t>
      </w:r>
    </w:p>
    <w:p w:rsidR="00FA7413" w:rsidRDefault="00D712A8">
      <w:pPr>
        <w:spacing w:after="105"/>
        <w:ind w:left="360"/>
      </w:pPr>
      <w:r>
        <w:rPr>
          <w:rFonts w:ascii="Arial" w:eastAsia="Arial" w:hAnsi="Arial" w:cs="Arial"/>
        </w:rPr>
        <w:t xml:space="preserve"> </w:t>
      </w:r>
    </w:p>
    <w:p w:rsidR="00FA7413" w:rsidRDefault="00D712A8">
      <w:pPr>
        <w:pStyle w:val="Ttulo1"/>
        <w:ind w:left="1013" w:right="2307"/>
      </w:pPr>
      <w:r>
        <w:t xml:space="preserve">           “INFORME JURÍDICO</w:t>
      </w:r>
      <w:r>
        <w:t xml:space="preserve">                           </w:t>
      </w:r>
      <w:r>
        <w:rPr>
          <w:b w:val="0"/>
        </w:rPr>
        <w:t xml:space="preserve"> </w:t>
      </w:r>
    </w:p>
    <w:p w:rsidR="00FA7413" w:rsidRDefault="00D712A8">
      <w:pPr>
        <w:spacing w:after="112" w:line="248" w:lineRule="auto"/>
        <w:ind w:left="1078" w:right="62" w:hanging="10"/>
        <w:jc w:val="both"/>
      </w:pPr>
      <w:r>
        <w:rPr>
          <w:rFonts w:ascii="Arial" w:eastAsia="Arial" w:hAnsi="Arial" w:cs="Arial"/>
          <w:b/>
        </w:rPr>
        <w:t xml:space="preserve">Visto el expediente antedicho, se emite el siguiente informe jurídico: </w:t>
      </w:r>
    </w:p>
    <w:p w:rsidR="00FA7413" w:rsidRDefault="00D712A8">
      <w:pPr>
        <w:spacing w:after="95"/>
        <w:ind w:left="1068"/>
      </w:pPr>
      <w:r>
        <w:rPr>
          <w:rFonts w:ascii="Arial" w:eastAsia="Arial" w:hAnsi="Arial" w:cs="Arial"/>
        </w:rPr>
        <w:t xml:space="preserve">  </w:t>
      </w:r>
    </w:p>
    <w:p w:rsidR="00FA7413" w:rsidRDefault="00D712A8">
      <w:pPr>
        <w:spacing w:after="112" w:line="248" w:lineRule="auto"/>
        <w:ind w:left="2497" w:right="62" w:hanging="10"/>
        <w:jc w:val="both"/>
      </w:pPr>
      <w:r>
        <w:rPr>
          <w:rFonts w:ascii="Arial" w:eastAsia="Arial" w:hAnsi="Arial" w:cs="Arial"/>
          <w:b/>
        </w:rPr>
        <w:t xml:space="preserve">         Antecedentes de hecho   </w:t>
      </w:r>
    </w:p>
    <w:p w:rsidR="00FA7413" w:rsidRDefault="00D712A8">
      <w:pPr>
        <w:spacing w:after="109" w:line="248" w:lineRule="auto"/>
        <w:ind w:left="345" w:right="64" w:firstLine="708"/>
        <w:jc w:val="both"/>
      </w:pPr>
      <w:r>
        <w:rPr>
          <w:noProof/>
        </w:rPr>
        <mc:AlternateContent>
          <mc:Choice Requires="wpg">
            <w:drawing>
              <wp:anchor distT="0" distB="0" distL="114300" distR="114300" simplePos="0" relativeHeight="251683840"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197544" name="Group 197544"/>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4077" name="Rectangle 4077"/>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4078" name="Rectangle 4078"/>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24 de 180 </w:t>
                              </w:r>
                            </w:p>
                          </w:txbxContent>
                        </wps:txbx>
                        <wps:bodyPr horzOverflow="overflow" vert="horz" lIns="0" tIns="0" rIns="0" bIns="0" rtlCol="0">
                          <a:noAutofit/>
                        </wps:bodyPr>
                      </wps:wsp>
                    </wpg:wgp>
                  </a:graphicData>
                </a:graphic>
              </wp:anchor>
            </w:drawing>
          </mc:Choice>
          <mc:Fallback xmlns:a="http://schemas.openxmlformats.org/drawingml/2006/main">
            <w:pict>
              <v:group id="Group 197544" style="width:12.7031pt;height:275.586pt;position:absolute;mso-position-horizontal-relative:page;mso-position-horizontal:absolute;margin-left:682.278pt;mso-position-vertical-relative:page;margin-top:536.334pt;" coordsize="1613,34999">
                <v:rect id="Rectangle 4077"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4078"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 de 180 </w:t>
                        </w:r>
                      </w:p>
                    </w:txbxContent>
                  </v:textbox>
                </v:rect>
                <w10:wrap type="square"/>
              </v:group>
            </w:pict>
          </mc:Fallback>
        </mc:AlternateContent>
      </w:r>
      <w:r>
        <w:rPr>
          <w:rFonts w:ascii="Arial" w:eastAsia="Arial" w:hAnsi="Arial" w:cs="Arial"/>
          <w:b/>
        </w:rPr>
        <w:t xml:space="preserve">Primero. - </w:t>
      </w:r>
      <w:r>
        <w:rPr>
          <w:rFonts w:ascii="Arial" w:eastAsia="Arial" w:hAnsi="Arial" w:cs="Arial"/>
        </w:rPr>
        <w:t>Por Acuerdo de la Comisión de Ordenación del Territorio y Medio Ambiente de Canarias (COTMAC) del Gobierno de Canarias de 20 de julio de 2006 y de corr</w:t>
      </w:r>
      <w:r>
        <w:rPr>
          <w:rFonts w:ascii="Arial" w:eastAsia="Arial" w:hAnsi="Arial" w:cs="Arial"/>
        </w:rPr>
        <w:t xml:space="preserve">ección de errores de 10 de noviembre de 2006 se aprobó definitivamente el Plan General de Ordenación Urbana del municipio de Candelaria (BOC de 8 de mayo y 10 de mayo de 2007) (BOP 17 de mayo de 2007) </w:t>
      </w:r>
    </w:p>
    <w:p w:rsidR="00FA7413" w:rsidRDefault="00D712A8">
      <w:pPr>
        <w:spacing w:after="109" w:line="248" w:lineRule="auto"/>
        <w:ind w:left="345" w:right="64" w:firstLine="708"/>
        <w:jc w:val="both"/>
      </w:pPr>
      <w:r>
        <w:rPr>
          <w:rFonts w:ascii="Arial" w:eastAsia="Arial" w:hAnsi="Arial" w:cs="Arial"/>
          <w:b/>
        </w:rPr>
        <w:t>Segundo. -</w:t>
      </w:r>
      <w:r>
        <w:rPr>
          <w:rFonts w:ascii="Arial" w:eastAsia="Arial" w:hAnsi="Arial" w:cs="Arial"/>
        </w:rPr>
        <w:t xml:space="preserve"> Que se interpuso recurso contencioso-admini</w:t>
      </w:r>
      <w:r>
        <w:rPr>
          <w:rFonts w:ascii="Arial" w:eastAsia="Arial" w:hAnsi="Arial" w:cs="Arial"/>
        </w:rPr>
        <w:t xml:space="preserve">strativo contra el acuerdo mencionado en el punto primero por la entidad mercantil Simón Rueda Inmobiliaria S.L. La recurrente impugna expresamente un exceso de cesiones en la unidad de actuación UA-C02. </w:t>
      </w:r>
    </w:p>
    <w:p w:rsidR="00FA7413" w:rsidRDefault="00D712A8">
      <w:pPr>
        <w:spacing w:after="109" w:line="248" w:lineRule="auto"/>
        <w:ind w:left="355" w:right="64" w:hanging="10"/>
        <w:jc w:val="both"/>
      </w:pPr>
      <w:r>
        <w:rPr>
          <w:rFonts w:ascii="Arial" w:eastAsia="Arial" w:hAnsi="Arial" w:cs="Arial"/>
          <w:b/>
        </w:rPr>
        <w:t xml:space="preserve"> </w:t>
      </w:r>
      <w:r>
        <w:rPr>
          <w:rFonts w:ascii="Arial" w:eastAsia="Arial" w:hAnsi="Arial" w:cs="Arial"/>
          <w:b/>
        </w:rPr>
        <w:tab/>
        <w:t xml:space="preserve">Tercero. - </w:t>
      </w:r>
      <w:r>
        <w:rPr>
          <w:rFonts w:ascii="Arial" w:eastAsia="Arial" w:hAnsi="Arial" w:cs="Arial"/>
        </w:rPr>
        <w:t xml:space="preserve">Que consta en el expediente sentencia </w:t>
      </w:r>
      <w:r>
        <w:rPr>
          <w:rFonts w:ascii="Arial" w:eastAsia="Arial" w:hAnsi="Arial" w:cs="Arial"/>
        </w:rPr>
        <w:t xml:space="preserve">que ha remitido Servicios Generales a la Secretaría General con fecha 26 de febrero de 2020: </w:t>
      </w:r>
    </w:p>
    <w:p w:rsidR="00FA7413" w:rsidRDefault="00D712A8">
      <w:pPr>
        <w:spacing w:after="109" w:line="248" w:lineRule="auto"/>
        <w:ind w:left="355" w:right="64" w:hanging="10"/>
        <w:jc w:val="both"/>
      </w:pPr>
      <w:r>
        <w:rPr>
          <w:rFonts w:ascii="Arial" w:eastAsia="Arial" w:hAnsi="Arial" w:cs="Arial"/>
        </w:rPr>
        <w:t>Sentencia nº 411 de 30 de septiembre de 2008. Procedimiento ordinario 111/2007. Sala de lo Contencioso-Administrativo del Tribunal Superior de Justicia de Canaria</w:t>
      </w:r>
      <w:r>
        <w:rPr>
          <w:rFonts w:ascii="Arial" w:eastAsia="Arial" w:hAnsi="Arial" w:cs="Arial"/>
        </w:rPr>
        <w:t xml:space="preserve">s. Sección Segunda. Santa Cruz de Tenerife. </w:t>
      </w:r>
    </w:p>
    <w:p w:rsidR="00FA7413" w:rsidRDefault="00D712A8">
      <w:pPr>
        <w:spacing w:after="112" w:line="247" w:lineRule="auto"/>
        <w:ind w:left="355" w:right="62" w:hanging="10"/>
        <w:jc w:val="both"/>
      </w:pPr>
      <w:r>
        <w:rPr>
          <w:rFonts w:ascii="Arial" w:eastAsia="Arial" w:hAnsi="Arial" w:cs="Arial"/>
        </w:rPr>
        <w:t>Fallo:</w:t>
      </w:r>
      <w:r>
        <w:rPr>
          <w:rFonts w:ascii="Arial" w:eastAsia="Arial" w:hAnsi="Arial" w:cs="Arial"/>
          <w:i/>
        </w:rPr>
        <w:t xml:space="preserve"> Desestimar el recurso contra las resoluciones ya mencionadas en el encabezamiento de la sentencia que se confirman, sin costas.</w:t>
      </w:r>
      <w:r>
        <w:rPr>
          <w:rFonts w:ascii="Arial" w:eastAsia="Arial" w:hAnsi="Arial" w:cs="Arial"/>
        </w:rPr>
        <w:t xml:space="preserve"> </w:t>
      </w:r>
    </w:p>
    <w:p w:rsidR="00FA7413" w:rsidRDefault="00D712A8">
      <w:pPr>
        <w:spacing w:after="152" w:line="248" w:lineRule="auto"/>
        <w:ind w:left="355" w:right="62" w:hanging="10"/>
        <w:jc w:val="both"/>
      </w:pPr>
      <w:r>
        <w:rPr>
          <w:rFonts w:ascii="Arial" w:eastAsia="Arial" w:hAnsi="Arial" w:cs="Arial"/>
          <w:b/>
        </w:rPr>
        <w:t xml:space="preserve"> Cuarto. - Que con fecha 7 de junio de 2021 ha tenido entrada en el Ayuntam</w:t>
      </w:r>
      <w:r>
        <w:rPr>
          <w:rFonts w:ascii="Arial" w:eastAsia="Arial" w:hAnsi="Arial" w:cs="Arial"/>
          <w:b/>
        </w:rPr>
        <w:t xml:space="preserve">iento de Candelaria, el oficio del Gobierno de Canarias que en relación al presente expediente dice: </w:t>
      </w:r>
    </w:p>
    <w:p w:rsidR="00FA7413" w:rsidRDefault="00D712A8">
      <w:pPr>
        <w:spacing w:after="110" w:line="249" w:lineRule="auto"/>
        <w:ind w:left="355" w:right="62" w:hanging="10"/>
        <w:jc w:val="both"/>
      </w:pPr>
      <w:r>
        <w:rPr>
          <w:rFonts w:ascii="Arial" w:eastAsia="Arial" w:hAnsi="Arial" w:cs="Arial"/>
          <w:b/>
        </w:rPr>
        <w:t xml:space="preserve"> </w:t>
      </w:r>
      <w:r>
        <w:rPr>
          <w:rFonts w:ascii="Arial" w:eastAsia="Arial" w:hAnsi="Arial" w:cs="Arial"/>
          <w:b/>
          <w:i/>
        </w:rPr>
        <w:t>“En los casos de las sentencias de los expedientes número 2252/2020, 2280/2020, 2257/2020, 2254/2020, 2284/2020 y 2282/2020 dado que se refieren a proced</w:t>
      </w:r>
      <w:r>
        <w:rPr>
          <w:rFonts w:ascii="Arial" w:eastAsia="Arial" w:hAnsi="Arial" w:cs="Arial"/>
          <w:b/>
          <w:i/>
        </w:rPr>
        <w:t>imientos en los que los recursos interpuestos han sido desestimados por considerarse que el acto recurrido es ajustado a derecho, no se requiere de actuación alguna tendente a la ejecución de su fallo.</w:t>
      </w:r>
      <w:r>
        <w:rPr>
          <w:rFonts w:ascii="Arial" w:eastAsia="Arial" w:hAnsi="Arial" w:cs="Arial"/>
        </w:rPr>
        <w:t xml:space="preserve"> </w:t>
      </w:r>
    </w:p>
    <w:p w:rsidR="00FA7413" w:rsidRDefault="00D712A8">
      <w:pPr>
        <w:spacing w:after="5" w:line="249" w:lineRule="auto"/>
        <w:ind w:left="355" w:right="62" w:hanging="10"/>
        <w:jc w:val="both"/>
      </w:pPr>
      <w:r>
        <w:rPr>
          <w:rFonts w:ascii="Arial" w:eastAsia="Arial" w:hAnsi="Arial" w:cs="Arial"/>
          <w:b/>
          <w:i/>
        </w:rPr>
        <w:t xml:space="preserve"> </w:t>
      </w:r>
      <w:r>
        <w:rPr>
          <w:rFonts w:ascii="Arial" w:eastAsia="Arial" w:hAnsi="Arial" w:cs="Arial"/>
          <w:b/>
          <w:i/>
        </w:rPr>
        <w:t xml:space="preserve">La labor de ejecución en estos casos se reduce a una actuación formal de toma de conocimiento de la sentencia por parte del órgano competente, sin que se requiera de la realización de ninguna otra actividad material de ejecución. </w:t>
      </w:r>
    </w:p>
    <w:p w:rsidR="00FA7413" w:rsidRDefault="00D712A8">
      <w:pPr>
        <w:spacing w:after="109" w:line="249" w:lineRule="auto"/>
        <w:ind w:left="355" w:right="62" w:hanging="10"/>
        <w:jc w:val="both"/>
      </w:pPr>
      <w:r>
        <w:rPr>
          <w:rFonts w:ascii="Arial" w:eastAsia="Arial" w:hAnsi="Arial" w:cs="Arial"/>
          <w:b/>
          <w:i/>
        </w:rPr>
        <w:t xml:space="preserve"> Dicha actuación ha sido </w:t>
      </w:r>
      <w:r>
        <w:rPr>
          <w:rFonts w:ascii="Arial" w:eastAsia="Arial" w:hAnsi="Arial" w:cs="Arial"/>
          <w:b/>
          <w:i/>
        </w:rPr>
        <w:t>llevada a cabo en la forma expuesta en el</w:t>
      </w:r>
      <w:r>
        <w:rPr>
          <w:rFonts w:ascii="Arial" w:eastAsia="Arial" w:hAnsi="Arial" w:cs="Arial"/>
          <w:b/>
        </w:rPr>
        <w:t xml:space="preserve"> </w:t>
      </w:r>
      <w:r>
        <w:rPr>
          <w:rFonts w:ascii="Arial" w:eastAsia="Arial" w:hAnsi="Arial" w:cs="Arial"/>
          <w:b/>
          <w:i/>
        </w:rPr>
        <w:t>apartado anterior, por lo que la ejecución de estas sentencias ha de darse por concluida desde el mismo momento en que la Comisión de Ordenación del Territorio y Medio Ambiente de Canarias tomó conocimiento de ella</w:t>
      </w:r>
      <w:r>
        <w:rPr>
          <w:rFonts w:ascii="Arial" w:eastAsia="Arial" w:hAnsi="Arial" w:cs="Arial"/>
          <w:b/>
          <w:i/>
        </w:rPr>
        <w:t>s y lo comunicó al Ayuntamiento”.</w:t>
      </w:r>
      <w:r>
        <w:rPr>
          <w:rFonts w:ascii="Arial" w:eastAsia="Arial" w:hAnsi="Arial" w:cs="Arial"/>
        </w:rPr>
        <w:t xml:space="preserve"> </w:t>
      </w:r>
    </w:p>
    <w:p w:rsidR="00FA7413" w:rsidRDefault="00D712A8">
      <w:pPr>
        <w:spacing w:after="98"/>
        <w:ind w:left="360"/>
      </w:pPr>
      <w:r>
        <w:rPr>
          <w:rFonts w:ascii="Arial" w:eastAsia="Arial" w:hAnsi="Arial" w:cs="Arial"/>
          <w:b/>
        </w:rPr>
        <w:t xml:space="preserve"> </w:t>
      </w:r>
    </w:p>
    <w:p w:rsidR="00FA7413" w:rsidRDefault="00D712A8">
      <w:pPr>
        <w:spacing w:after="112" w:line="248" w:lineRule="auto"/>
        <w:ind w:left="3208" w:right="62" w:hanging="10"/>
        <w:jc w:val="both"/>
      </w:pPr>
      <w:r>
        <w:rPr>
          <w:rFonts w:ascii="Arial" w:eastAsia="Arial" w:hAnsi="Arial" w:cs="Arial"/>
          <w:b/>
        </w:rPr>
        <w:t xml:space="preserve">Fundamentos de derecho   </w:t>
      </w:r>
    </w:p>
    <w:p w:rsidR="00FA7413" w:rsidRDefault="00D712A8">
      <w:pPr>
        <w:spacing w:after="112" w:line="248" w:lineRule="auto"/>
        <w:ind w:left="355" w:right="62" w:hanging="10"/>
        <w:jc w:val="both"/>
      </w:pPr>
      <w:r>
        <w:rPr>
          <w:rFonts w:ascii="Arial" w:eastAsia="Arial" w:hAnsi="Arial" w:cs="Arial"/>
          <w:b/>
        </w:rPr>
        <w:t xml:space="preserve"> Primero. - Es de aplicación lo dispuesto en el artículo 118 de la constitución que establece: </w:t>
      </w:r>
    </w:p>
    <w:p w:rsidR="00FA7413" w:rsidRDefault="00D712A8">
      <w:pPr>
        <w:spacing w:after="112" w:line="247" w:lineRule="auto"/>
        <w:ind w:left="345" w:right="62" w:firstLine="708"/>
        <w:jc w:val="both"/>
      </w:pPr>
      <w:r>
        <w:rPr>
          <w:rFonts w:ascii="Arial" w:eastAsia="Arial" w:hAnsi="Arial" w:cs="Arial"/>
          <w:i/>
        </w:rPr>
        <w:t>Es obligado cumplir las sentencias y demás resoluciones firmes de los Jueces y Tribunales, así co</w:t>
      </w:r>
      <w:r>
        <w:rPr>
          <w:rFonts w:ascii="Arial" w:eastAsia="Arial" w:hAnsi="Arial" w:cs="Arial"/>
          <w:i/>
        </w:rPr>
        <w:t>mo prestar la colaboración requerida por éstos en el curso del proceso y en la ejecución de lo resuelto</w:t>
      </w:r>
      <w:r>
        <w:rPr>
          <w:rFonts w:ascii="Arial" w:eastAsia="Arial" w:hAnsi="Arial" w:cs="Arial"/>
        </w:rPr>
        <w:t xml:space="preserve">. </w:t>
      </w:r>
    </w:p>
    <w:p w:rsidR="00FA7413" w:rsidRDefault="00D712A8">
      <w:pPr>
        <w:spacing w:after="112" w:line="248" w:lineRule="auto"/>
        <w:ind w:left="345" w:right="62" w:firstLine="708"/>
        <w:jc w:val="both"/>
      </w:pPr>
      <w:r>
        <w:rPr>
          <w:rFonts w:ascii="Arial" w:eastAsia="Arial" w:hAnsi="Arial" w:cs="Arial"/>
          <w:b/>
        </w:rPr>
        <w:t>Segundo. - Es de aplicación lo dispuesto en el artículo 103.2 de la Ley 29/1998, de 13 de julio, de la Jurisdicción Contencioso-Administrativa que est</w:t>
      </w:r>
      <w:r>
        <w:rPr>
          <w:rFonts w:ascii="Arial" w:eastAsia="Arial" w:hAnsi="Arial" w:cs="Arial"/>
          <w:b/>
        </w:rPr>
        <w:t xml:space="preserve">ablece: </w:t>
      </w:r>
    </w:p>
    <w:p w:rsidR="00FA7413" w:rsidRDefault="00D712A8">
      <w:pPr>
        <w:spacing w:after="112" w:line="247" w:lineRule="auto"/>
        <w:ind w:left="345" w:right="62" w:firstLine="708"/>
        <w:jc w:val="both"/>
      </w:pPr>
      <w:r>
        <w:rPr>
          <w:rFonts w:ascii="Arial" w:eastAsia="Arial" w:hAnsi="Arial" w:cs="Arial"/>
          <w:i/>
        </w:rPr>
        <w:t>2. Las partes están obligadas a cumplir las sentencias en la forma y términos que en éstas se consignen</w:t>
      </w:r>
      <w:r>
        <w:rPr>
          <w:rFonts w:ascii="Arial" w:eastAsia="Arial" w:hAnsi="Arial" w:cs="Arial"/>
        </w:rPr>
        <w:t xml:space="preserve"> </w:t>
      </w:r>
    </w:p>
    <w:p w:rsidR="00FA7413" w:rsidRDefault="00D712A8">
      <w:pPr>
        <w:spacing w:after="100"/>
        <w:ind w:left="1068"/>
      </w:pPr>
      <w:r>
        <w:rPr>
          <w:rFonts w:ascii="Arial" w:eastAsia="Arial" w:hAnsi="Arial" w:cs="Arial"/>
          <w:b/>
        </w:rPr>
        <w:t xml:space="preserve"> </w:t>
      </w:r>
    </w:p>
    <w:p w:rsidR="00FA7413" w:rsidRDefault="00D712A8">
      <w:pPr>
        <w:tabs>
          <w:tab w:val="center" w:pos="360"/>
          <w:tab w:val="center" w:pos="1068"/>
          <w:tab w:val="center" w:pos="1776"/>
          <w:tab w:val="center" w:pos="4288"/>
        </w:tabs>
        <w:spacing w:after="112" w:line="248" w:lineRule="auto"/>
      </w:pPr>
      <w:r>
        <w:tab/>
      </w:r>
      <w:r>
        <w:rPr>
          <w:rFonts w:ascii="Arial" w:eastAsia="Arial" w:hAnsi="Arial" w:cs="Arial"/>
          <w:b/>
        </w:rPr>
        <w:t xml:space="preserve"> </w:t>
      </w:r>
      <w:r>
        <w:rPr>
          <w:rFonts w:ascii="Arial" w:eastAsia="Arial" w:hAnsi="Arial" w:cs="Arial"/>
          <w:b/>
        </w:rPr>
        <w:tab/>
        <w:t xml:space="preserve"> </w:t>
      </w:r>
      <w:r>
        <w:rPr>
          <w:rFonts w:ascii="Arial" w:eastAsia="Arial" w:hAnsi="Arial" w:cs="Arial"/>
          <w:b/>
        </w:rPr>
        <w:tab/>
        <w:t xml:space="preserve"> </w:t>
      </w:r>
      <w:r>
        <w:rPr>
          <w:rFonts w:ascii="Arial" w:eastAsia="Arial" w:hAnsi="Arial" w:cs="Arial"/>
          <w:b/>
        </w:rPr>
        <w:tab/>
        <w:t xml:space="preserve">            PROPUESTA DE ACUERDO  </w:t>
      </w:r>
    </w:p>
    <w:p w:rsidR="00FA7413" w:rsidRDefault="00D712A8">
      <w:pPr>
        <w:spacing w:after="112" w:line="248" w:lineRule="auto"/>
        <w:ind w:left="1078" w:right="62" w:hanging="10"/>
        <w:jc w:val="both"/>
      </w:pPr>
      <w:r>
        <w:rPr>
          <w:rFonts w:ascii="Arial" w:eastAsia="Arial" w:hAnsi="Arial" w:cs="Arial"/>
          <w:b/>
        </w:rPr>
        <w:t xml:space="preserve">Por lo expuesto se eleva la siguiente propuesta al Pleno: </w:t>
      </w:r>
    </w:p>
    <w:p w:rsidR="00FA7413" w:rsidRDefault="00D712A8">
      <w:pPr>
        <w:spacing w:after="0" w:line="248" w:lineRule="auto"/>
        <w:ind w:left="345" w:right="64" w:firstLine="708"/>
        <w:jc w:val="both"/>
      </w:pPr>
      <w:r>
        <w:rPr>
          <w:noProof/>
        </w:rPr>
        <mc:AlternateContent>
          <mc:Choice Requires="wpg">
            <w:drawing>
              <wp:anchor distT="0" distB="0" distL="114300" distR="114300" simplePos="0" relativeHeight="251684864"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195886" name="Group 195886"/>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4205" name="Rectangle 4205"/>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4206" name="Rectangle 4206"/>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25 de 180 </w:t>
                              </w:r>
                            </w:p>
                          </w:txbxContent>
                        </wps:txbx>
                        <wps:bodyPr horzOverflow="overflow" vert="horz" lIns="0" tIns="0" rIns="0" bIns="0" rtlCol="0">
                          <a:noAutofit/>
                        </wps:bodyPr>
                      </wps:wsp>
                    </wpg:wgp>
                  </a:graphicData>
                </a:graphic>
              </wp:anchor>
            </w:drawing>
          </mc:Choice>
          <mc:Fallback xmlns:a="http://schemas.openxmlformats.org/drawingml/2006/main">
            <w:pict>
              <v:group id="Group 195886" style="width:12.7031pt;height:275.586pt;position:absolute;mso-position-horizontal-relative:page;mso-position-horizontal:absolute;margin-left:682.278pt;mso-position-vertical-relative:page;margin-top:536.334pt;" coordsize="1613,34999">
                <v:rect id="Rectangle 4205"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4206"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 de 180 </w:t>
                        </w:r>
                      </w:p>
                    </w:txbxContent>
                  </v:textbox>
                </v:rect>
                <w10:wrap type="square"/>
              </v:group>
            </w:pict>
          </mc:Fallback>
        </mc:AlternateContent>
      </w:r>
      <w:r>
        <w:rPr>
          <w:rFonts w:ascii="Arial" w:eastAsia="Arial" w:hAnsi="Arial" w:cs="Arial"/>
        </w:rPr>
        <w:t xml:space="preserve">Primero. - Tomar conocimiento de la Sentencia nº 411 de 30 de </w:t>
      </w:r>
      <w:r>
        <w:rPr>
          <w:rFonts w:ascii="Arial" w:eastAsia="Arial" w:hAnsi="Arial" w:cs="Arial"/>
        </w:rPr>
        <w:t>septiembre de 2008 (Procedimiento ordinario 111/2007) de la Sala de lo Contencioso-Administrativo del Tribunal Superior de Justicia de Canarias (Sección Segunda. Santa Cruz de Tenerife) por la que se desestima el recurso interpuesto por la entidad mercanti</w:t>
      </w:r>
      <w:r>
        <w:rPr>
          <w:rFonts w:ascii="Arial" w:eastAsia="Arial" w:hAnsi="Arial" w:cs="Arial"/>
        </w:rPr>
        <w:t>l Simón Rueda Inmobiliaria S.L. contra el acuerdo de la Comisión de Ordenación del Territorio y Medio Ambiente de Canarias (COTMAC) del Gobierno de Canarias de 20 de julio de 2006 y de corrección de errores de 10 de noviembre de 2006 se aprobó definitivame</w:t>
      </w:r>
      <w:r>
        <w:rPr>
          <w:rFonts w:ascii="Arial" w:eastAsia="Arial" w:hAnsi="Arial" w:cs="Arial"/>
        </w:rPr>
        <w:t xml:space="preserve">nte el Plan General de Ordenación Urbana del municipio de Candelaria </w:t>
      </w:r>
    </w:p>
    <w:p w:rsidR="00FA7413" w:rsidRDefault="00D712A8">
      <w:pPr>
        <w:spacing w:after="141" w:line="248" w:lineRule="auto"/>
        <w:ind w:left="355" w:right="64" w:hanging="10"/>
        <w:jc w:val="both"/>
      </w:pPr>
      <w:r>
        <w:rPr>
          <w:rFonts w:ascii="Arial" w:eastAsia="Arial" w:hAnsi="Arial" w:cs="Arial"/>
        </w:rPr>
        <w:t xml:space="preserve">(BOC de 8 de mayo y 10 de mayo de 2007) </w:t>
      </w:r>
    </w:p>
    <w:p w:rsidR="00FA7413" w:rsidRDefault="00D712A8">
      <w:pPr>
        <w:spacing w:after="109" w:line="248" w:lineRule="auto"/>
        <w:ind w:left="1078" w:right="64" w:hanging="10"/>
        <w:jc w:val="both"/>
      </w:pPr>
      <w:r>
        <w:rPr>
          <w:rFonts w:ascii="Arial" w:eastAsia="Arial" w:hAnsi="Arial" w:cs="Arial"/>
        </w:rPr>
        <w:t xml:space="preserve">Segundo. - Notificar al presente acuerdo al interesado.” </w:t>
      </w:r>
    </w:p>
    <w:p w:rsidR="00FA7413" w:rsidRDefault="00D712A8">
      <w:pPr>
        <w:spacing w:after="100"/>
        <w:ind w:left="360"/>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 xml:space="preserve">   Consta en el expediente propuesta de la Alcaldesa-Presidenta, de fecha 15 de jun</w:t>
      </w:r>
      <w:r>
        <w:rPr>
          <w:rFonts w:ascii="Arial" w:eastAsia="Arial" w:hAnsi="Arial" w:cs="Arial"/>
          <w:b/>
        </w:rPr>
        <w:t xml:space="preserve">io de 2021, cuyo tenor literal es el siguiente: </w:t>
      </w:r>
    </w:p>
    <w:p w:rsidR="00FA7413" w:rsidRDefault="00D712A8">
      <w:pPr>
        <w:spacing w:after="100"/>
        <w:ind w:left="360"/>
      </w:pPr>
      <w:r>
        <w:rPr>
          <w:rFonts w:ascii="Arial" w:eastAsia="Arial" w:hAnsi="Arial" w:cs="Arial"/>
          <w:b/>
        </w:rPr>
        <w:t xml:space="preserve"> </w:t>
      </w:r>
    </w:p>
    <w:p w:rsidR="00FA7413" w:rsidRDefault="00D712A8">
      <w:pPr>
        <w:spacing w:after="124"/>
        <w:ind w:left="360"/>
      </w:pPr>
      <w:r>
        <w:rPr>
          <w:rFonts w:ascii="Arial" w:eastAsia="Arial" w:hAnsi="Arial" w:cs="Arial"/>
        </w:rPr>
        <w:t xml:space="preserve"> </w:t>
      </w:r>
    </w:p>
    <w:p w:rsidR="00FA7413" w:rsidRDefault="00D712A8">
      <w:pPr>
        <w:pStyle w:val="Ttulo1"/>
        <w:ind w:left="1013" w:right="704"/>
      </w:pPr>
      <w:r>
        <w:t xml:space="preserve">“PROPUESTA DE LA ALCALDÍA-PRESIDENCIA  </w:t>
      </w:r>
    </w:p>
    <w:p w:rsidR="00FA7413" w:rsidRDefault="00D712A8">
      <w:pPr>
        <w:spacing w:after="141"/>
        <w:ind w:left="295" w:hanging="10"/>
        <w:jc w:val="center"/>
      </w:pPr>
      <w:r>
        <w:rPr>
          <w:rFonts w:ascii="Arial" w:eastAsia="Arial" w:hAnsi="Arial" w:cs="Arial"/>
          <w:b/>
        </w:rPr>
        <w:t xml:space="preserve">Visto el informe jurídico de fecha 14 de junio de 2021 que transcrito literalmente dice: </w:t>
      </w:r>
    </w:p>
    <w:p w:rsidR="00FA7413" w:rsidRDefault="00D712A8">
      <w:pPr>
        <w:spacing w:after="112" w:line="247" w:lineRule="auto"/>
        <w:ind w:left="1078" w:right="62" w:hanging="10"/>
        <w:jc w:val="both"/>
      </w:pPr>
      <w:r>
        <w:rPr>
          <w:rFonts w:ascii="Arial" w:eastAsia="Arial" w:hAnsi="Arial" w:cs="Arial"/>
          <w:i/>
        </w:rPr>
        <w:t xml:space="preserve">“Visto el expediente antedicho, se emite el siguiente informe jurídico:  </w:t>
      </w:r>
    </w:p>
    <w:p w:rsidR="00FA7413" w:rsidRDefault="00D712A8">
      <w:pPr>
        <w:spacing w:after="112" w:line="247" w:lineRule="auto"/>
        <w:ind w:left="2497" w:right="62" w:hanging="10"/>
        <w:jc w:val="both"/>
      </w:pPr>
      <w:r>
        <w:rPr>
          <w:rFonts w:ascii="Arial" w:eastAsia="Arial" w:hAnsi="Arial" w:cs="Arial"/>
          <w:i/>
        </w:rPr>
        <w:t xml:space="preserve">Antecedentes de hecho   </w:t>
      </w:r>
    </w:p>
    <w:p w:rsidR="00FA7413" w:rsidRDefault="00D712A8">
      <w:pPr>
        <w:spacing w:after="11" w:line="247" w:lineRule="auto"/>
        <w:ind w:left="1078" w:right="62" w:hanging="10"/>
        <w:jc w:val="both"/>
      </w:pPr>
      <w:r>
        <w:rPr>
          <w:rFonts w:ascii="Arial" w:eastAsia="Arial" w:hAnsi="Arial" w:cs="Arial"/>
          <w:i/>
        </w:rPr>
        <w:t xml:space="preserve">Primero.- Por Acuerdo de la Comisión de Ordenación del Territorio y Medio Ambiente de </w:t>
      </w:r>
    </w:p>
    <w:p w:rsidR="00FA7413" w:rsidRDefault="00D712A8">
      <w:pPr>
        <w:spacing w:after="112" w:line="247" w:lineRule="auto"/>
        <w:ind w:left="355" w:right="62" w:hanging="10"/>
        <w:jc w:val="both"/>
      </w:pPr>
      <w:r>
        <w:rPr>
          <w:rFonts w:ascii="Arial" w:eastAsia="Arial" w:hAnsi="Arial" w:cs="Arial"/>
          <w:i/>
        </w:rPr>
        <w:t>Canarias (COTMAC) del Gobierno de Canarias de 20 de julio de 2006 y de corrección de errores de 10 de noviembre de 2006 se aprobó definitivamen</w:t>
      </w:r>
      <w:r>
        <w:rPr>
          <w:rFonts w:ascii="Arial" w:eastAsia="Arial" w:hAnsi="Arial" w:cs="Arial"/>
          <w:i/>
        </w:rPr>
        <w:t xml:space="preserve">te el Plan General de Ordenación Urbana del municipio de Candelaria (BOC  de 8 de mayo y 10 de mayo de 2007) (BOP 17 de mayo de 2007) </w:t>
      </w:r>
    </w:p>
    <w:p w:rsidR="00FA7413" w:rsidRDefault="00D712A8">
      <w:pPr>
        <w:spacing w:after="112" w:line="247" w:lineRule="auto"/>
        <w:ind w:left="345" w:right="62" w:firstLine="708"/>
        <w:jc w:val="both"/>
      </w:pPr>
      <w:r>
        <w:rPr>
          <w:rFonts w:ascii="Arial" w:eastAsia="Arial" w:hAnsi="Arial" w:cs="Arial"/>
          <w:i/>
        </w:rPr>
        <w:t>Segundo.- Que se interpuso recurso contencioso-administrativo contra el acuerdo mencionado en el punto primero por la ent</w:t>
      </w:r>
      <w:r>
        <w:rPr>
          <w:rFonts w:ascii="Arial" w:eastAsia="Arial" w:hAnsi="Arial" w:cs="Arial"/>
          <w:i/>
        </w:rPr>
        <w:t xml:space="preserve">idad mercantil Simón Rueda Inmobiliaria S.L. La recurrente impugna expresamente un exceso de cesiones en la unidad de actuación UA-C02. </w:t>
      </w:r>
    </w:p>
    <w:p w:rsidR="00FA7413" w:rsidRDefault="00D712A8">
      <w:pPr>
        <w:spacing w:after="112" w:line="247" w:lineRule="auto"/>
        <w:ind w:left="355" w:right="62" w:hanging="10"/>
        <w:jc w:val="both"/>
      </w:pPr>
      <w:r>
        <w:rPr>
          <w:rFonts w:ascii="Arial" w:eastAsia="Arial" w:hAnsi="Arial" w:cs="Arial"/>
          <w:i/>
        </w:rPr>
        <w:t xml:space="preserve"> Tercero.- Que consta en el expediente sentencia que ha remitido Servicios Generales a la Secretaría General con fecha </w:t>
      </w:r>
      <w:r>
        <w:rPr>
          <w:rFonts w:ascii="Arial" w:eastAsia="Arial" w:hAnsi="Arial" w:cs="Arial"/>
          <w:i/>
        </w:rPr>
        <w:t xml:space="preserve">26 de febrero de 2020: </w:t>
      </w:r>
    </w:p>
    <w:p w:rsidR="00FA7413" w:rsidRDefault="00D712A8">
      <w:pPr>
        <w:spacing w:after="112" w:line="247" w:lineRule="auto"/>
        <w:ind w:left="355" w:right="62" w:hanging="10"/>
        <w:jc w:val="both"/>
      </w:pPr>
      <w:r>
        <w:rPr>
          <w:rFonts w:ascii="Arial" w:eastAsia="Arial" w:hAnsi="Arial" w:cs="Arial"/>
          <w:i/>
        </w:rPr>
        <w:t xml:space="preserve">Sentencia nº 411 de 30 de septiembre de 2008. Procedimiento ordinario 111/2007. Sala de lo Contencioso-Administrativo del Tribunal Superior de Justicia de Canarias. Sección Segunda. Santa Cruz de Tenerife. </w:t>
      </w:r>
    </w:p>
    <w:p w:rsidR="00FA7413" w:rsidRDefault="00D712A8">
      <w:pPr>
        <w:spacing w:after="112" w:line="247" w:lineRule="auto"/>
        <w:ind w:left="355" w:right="62" w:hanging="10"/>
        <w:jc w:val="both"/>
      </w:pPr>
      <w:r>
        <w:rPr>
          <w:rFonts w:ascii="Arial" w:eastAsia="Arial" w:hAnsi="Arial" w:cs="Arial"/>
          <w:i/>
        </w:rPr>
        <w:t>Fallo: Desestimar el recu</w:t>
      </w:r>
      <w:r>
        <w:rPr>
          <w:rFonts w:ascii="Arial" w:eastAsia="Arial" w:hAnsi="Arial" w:cs="Arial"/>
          <w:i/>
        </w:rPr>
        <w:t xml:space="preserve">rso contra las resoluciones ya mencionadas en el encabezamiento de la sentencia que se confirman, sin costas. </w:t>
      </w:r>
    </w:p>
    <w:p w:rsidR="00FA7413" w:rsidRDefault="00D712A8">
      <w:pPr>
        <w:spacing w:after="148" w:line="247" w:lineRule="auto"/>
        <w:ind w:left="355" w:right="62" w:hanging="10"/>
        <w:jc w:val="both"/>
      </w:pPr>
      <w:r>
        <w:rPr>
          <w:rFonts w:ascii="Arial" w:eastAsia="Arial" w:hAnsi="Arial" w:cs="Arial"/>
          <w:i/>
        </w:rPr>
        <w:t xml:space="preserve"> Cuarto.- </w:t>
      </w:r>
      <w:r>
        <w:rPr>
          <w:rFonts w:ascii="Arial" w:eastAsia="Arial" w:hAnsi="Arial" w:cs="Arial"/>
          <w:i/>
        </w:rPr>
        <w:t xml:space="preserve">Que con fecha 7 de junio de 2021 ha tenido entrada en el Ayuntamiento de Candelaria, el oficio del Gobierno de Canarias que en relación al presente expediente dice: </w:t>
      </w:r>
    </w:p>
    <w:p w:rsidR="00FA7413" w:rsidRDefault="00D712A8">
      <w:pPr>
        <w:spacing w:after="112" w:line="247" w:lineRule="auto"/>
        <w:ind w:left="355" w:right="62" w:hanging="10"/>
        <w:jc w:val="both"/>
      </w:pPr>
      <w:r>
        <w:rPr>
          <w:rFonts w:ascii="Arial" w:eastAsia="Arial" w:hAnsi="Arial" w:cs="Arial"/>
          <w:i/>
        </w:rPr>
        <w:t xml:space="preserve"> “En los casos de las sentencias de los expedientes número 2252/2020, 2280/2020, 2257/2020</w:t>
      </w:r>
      <w:r>
        <w:rPr>
          <w:rFonts w:ascii="Arial" w:eastAsia="Arial" w:hAnsi="Arial" w:cs="Arial"/>
          <w:i/>
        </w:rPr>
        <w:t xml:space="preserve">, 2254/2020, 2284/2020 y 2282/2020 dado que se refieren a procedimientos en los que los recursos interpuestos han sido desestimados por considerarse que el acto recurrido es ajustado a derecho, no se requiere de actuación alguna tendente a la ejecución de </w:t>
      </w:r>
      <w:r>
        <w:rPr>
          <w:rFonts w:ascii="Arial" w:eastAsia="Arial" w:hAnsi="Arial" w:cs="Arial"/>
          <w:i/>
        </w:rPr>
        <w:t xml:space="preserve">su fallo. </w:t>
      </w:r>
    </w:p>
    <w:p w:rsidR="00FA7413" w:rsidRDefault="00D712A8">
      <w:pPr>
        <w:spacing w:after="112" w:line="247" w:lineRule="auto"/>
        <w:ind w:left="355" w:right="62" w:hanging="10"/>
        <w:jc w:val="both"/>
      </w:pPr>
      <w:r>
        <w:rPr>
          <w:noProof/>
        </w:rPr>
        <mc:AlternateContent>
          <mc:Choice Requires="wpg">
            <w:drawing>
              <wp:anchor distT="0" distB="0" distL="114300" distR="114300" simplePos="0" relativeHeight="251685888"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195578" name="Group 195578"/>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4350" name="Rectangle 4350"/>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4351" name="Rectangle 4351"/>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26 de 180 </w:t>
                              </w:r>
                            </w:p>
                          </w:txbxContent>
                        </wps:txbx>
                        <wps:bodyPr horzOverflow="overflow" vert="horz" lIns="0" tIns="0" rIns="0" bIns="0" rtlCol="0">
                          <a:noAutofit/>
                        </wps:bodyPr>
                      </wps:wsp>
                    </wpg:wgp>
                  </a:graphicData>
                </a:graphic>
              </wp:anchor>
            </w:drawing>
          </mc:Choice>
          <mc:Fallback xmlns:a="http://schemas.openxmlformats.org/drawingml/2006/main">
            <w:pict>
              <v:group id="Group 195578" style="width:12.7031pt;height:275.586pt;position:absolute;mso-position-horizontal-relative:page;mso-position-horizontal:absolute;margin-left:682.278pt;mso-position-vertical-relative:page;margin-top:536.334pt;" coordsize="1613,34999">
                <v:rect id="Rectangle 4350"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4351"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 de 180 </w:t>
                        </w:r>
                      </w:p>
                    </w:txbxContent>
                  </v:textbox>
                </v:rect>
                <w10:wrap type="square"/>
              </v:group>
            </w:pict>
          </mc:Fallback>
        </mc:AlternateContent>
      </w:r>
      <w:r>
        <w:rPr>
          <w:rFonts w:ascii="Arial" w:eastAsia="Arial" w:hAnsi="Arial" w:cs="Arial"/>
          <w:i/>
        </w:rPr>
        <w:t xml:space="preserve"> La labor de ejecución en estos casos se reduce </w:t>
      </w:r>
      <w:r>
        <w:rPr>
          <w:rFonts w:ascii="Arial" w:eastAsia="Arial" w:hAnsi="Arial" w:cs="Arial"/>
          <w:i/>
        </w:rPr>
        <w:t xml:space="preserve">a una actuación formal de toma de conocimiento de la sentencia por parte del órgano competente, sin que se requiera de la realización de ninguna otra actividad material de ejecución. </w:t>
      </w:r>
    </w:p>
    <w:p w:rsidR="00FA7413" w:rsidRDefault="00D712A8">
      <w:pPr>
        <w:spacing w:after="112" w:line="247" w:lineRule="auto"/>
        <w:ind w:left="355" w:right="62" w:hanging="10"/>
        <w:jc w:val="both"/>
      </w:pPr>
      <w:r>
        <w:rPr>
          <w:rFonts w:ascii="Arial" w:eastAsia="Arial" w:hAnsi="Arial" w:cs="Arial"/>
          <w:i/>
        </w:rPr>
        <w:t xml:space="preserve"> Dicha actuación ha sido llevada a cabo en la forma expuesta en el apart</w:t>
      </w:r>
      <w:r>
        <w:rPr>
          <w:rFonts w:ascii="Arial" w:eastAsia="Arial" w:hAnsi="Arial" w:cs="Arial"/>
          <w:i/>
        </w:rPr>
        <w:t xml:space="preserve">ado anterior, por lo que la ejecución de estas sentencias ha de darse por concluida desde el mismo momento en que la Comisión de Ordenación del Territorio y Medio Ambiente de Canarias tomó conocimiento de ellas y lo comunicó al Ayuntamiento”. </w:t>
      </w:r>
    </w:p>
    <w:p w:rsidR="00FA7413" w:rsidRDefault="00D712A8">
      <w:pPr>
        <w:spacing w:after="100"/>
        <w:ind w:left="360"/>
      </w:pPr>
      <w:r>
        <w:rPr>
          <w:rFonts w:ascii="Arial" w:eastAsia="Arial" w:hAnsi="Arial" w:cs="Arial"/>
          <w:i/>
        </w:rPr>
        <w:t xml:space="preserve"> </w:t>
      </w:r>
    </w:p>
    <w:p w:rsidR="00FA7413" w:rsidRDefault="00D712A8">
      <w:pPr>
        <w:spacing w:after="112" w:line="247" w:lineRule="auto"/>
        <w:ind w:left="3208" w:right="62" w:hanging="10"/>
        <w:jc w:val="both"/>
      </w:pPr>
      <w:r>
        <w:rPr>
          <w:rFonts w:ascii="Arial" w:eastAsia="Arial" w:hAnsi="Arial" w:cs="Arial"/>
          <w:i/>
        </w:rPr>
        <w:t>Fundamento</w:t>
      </w:r>
      <w:r>
        <w:rPr>
          <w:rFonts w:ascii="Arial" w:eastAsia="Arial" w:hAnsi="Arial" w:cs="Arial"/>
          <w:i/>
        </w:rPr>
        <w:t xml:space="preserve">s de derecho   </w:t>
      </w:r>
    </w:p>
    <w:p w:rsidR="00FA7413" w:rsidRDefault="00D712A8">
      <w:pPr>
        <w:tabs>
          <w:tab w:val="center" w:pos="360"/>
          <w:tab w:val="right" w:pos="9999"/>
        </w:tabs>
        <w:spacing w:after="112" w:line="247" w:lineRule="auto"/>
      </w:pPr>
      <w:r>
        <w:tab/>
      </w:r>
      <w:r>
        <w:rPr>
          <w:rFonts w:ascii="Arial" w:eastAsia="Arial" w:hAnsi="Arial" w:cs="Arial"/>
          <w:i/>
        </w:rPr>
        <w:t xml:space="preserve"> </w:t>
      </w:r>
      <w:r>
        <w:rPr>
          <w:rFonts w:ascii="Arial" w:eastAsia="Arial" w:hAnsi="Arial" w:cs="Arial"/>
          <w:i/>
        </w:rPr>
        <w:tab/>
        <w:t xml:space="preserve">Primero.- Es de aplicación lo dispuesto en el artículo 118 de la constitución que establece: </w:t>
      </w:r>
    </w:p>
    <w:p w:rsidR="00FA7413" w:rsidRDefault="00D712A8">
      <w:pPr>
        <w:spacing w:after="112" w:line="247" w:lineRule="auto"/>
        <w:ind w:left="345" w:right="62" w:firstLine="708"/>
        <w:jc w:val="both"/>
      </w:pPr>
      <w:r>
        <w:rPr>
          <w:rFonts w:ascii="Arial" w:eastAsia="Arial" w:hAnsi="Arial" w:cs="Arial"/>
          <w:i/>
        </w:rPr>
        <w:t>Es obligado cumplir las sentencias y demás resoluciones firmes de los Jueces y Tribunales, así como prestar la colaboración requerida por éstos</w:t>
      </w:r>
      <w:r>
        <w:rPr>
          <w:rFonts w:ascii="Arial" w:eastAsia="Arial" w:hAnsi="Arial" w:cs="Arial"/>
          <w:i/>
        </w:rPr>
        <w:t xml:space="preserve"> en el curso del proceso y en la ejecución de lo resuelto.</w:t>
      </w:r>
      <w:r>
        <w:rPr>
          <w:rFonts w:ascii="Arial" w:eastAsia="Arial" w:hAnsi="Arial" w:cs="Arial"/>
        </w:rPr>
        <w:t xml:space="preserve"> </w:t>
      </w:r>
    </w:p>
    <w:p w:rsidR="00FA7413" w:rsidRDefault="00D712A8">
      <w:pPr>
        <w:spacing w:after="112" w:line="247" w:lineRule="auto"/>
        <w:ind w:left="345" w:right="62" w:firstLine="708"/>
        <w:jc w:val="both"/>
      </w:pPr>
      <w:r>
        <w:rPr>
          <w:rFonts w:ascii="Arial" w:eastAsia="Arial" w:hAnsi="Arial" w:cs="Arial"/>
          <w:i/>
        </w:rPr>
        <w:t xml:space="preserve">Segundo.- Es de aplicación lo dispuesto en el artículo 103.2 de la Ley 29/1998, de 13 de julio, de la Jurisdicción Contencioso-Administrativa que establece: </w:t>
      </w:r>
    </w:p>
    <w:p w:rsidR="00FA7413" w:rsidRDefault="00D712A8">
      <w:pPr>
        <w:spacing w:after="112" w:line="247" w:lineRule="auto"/>
        <w:ind w:left="345" w:right="62" w:firstLine="708"/>
        <w:jc w:val="both"/>
      </w:pPr>
      <w:r>
        <w:rPr>
          <w:rFonts w:ascii="Arial" w:eastAsia="Arial" w:hAnsi="Arial" w:cs="Arial"/>
          <w:i/>
        </w:rPr>
        <w:t>2. Las partes están obligadas a cumpli</w:t>
      </w:r>
      <w:r>
        <w:rPr>
          <w:rFonts w:ascii="Arial" w:eastAsia="Arial" w:hAnsi="Arial" w:cs="Arial"/>
          <w:i/>
        </w:rPr>
        <w:t>r las sentencias en la forma y términos que en éstas se consignen</w:t>
      </w:r>
      <w:r>
        <w:rPr>
          <w:rFonts w:ascii="Arial" w:eastAsia="Arial" w:hAnsi="Arial" w:cs="Arial"/>
        </w:rPr>
        <w:t xml:space="preserve"> </w:t>
      </w:r>
    </w:p>
    <w:p w:rsidR="00FA7413" w:rsidRDefault="00D712A8">
      <w:pPr>
        <w:spacing w:after="98"/>
        <w:ind w:left="1068"/>
      </w:pPr>
      <w:r>
        <w:rPr>
          <w:rFonts w:ascii="Arial" w:eastAsia="Arial" w:hAnsi="Arial" w:cs="Arial"/>
          <w:i/>
        </w:rPr>
        <w:t xml:space="preserve"> </w:t>
      </w:r>
    </w:p>
    <w:p w:rsidR="00FA7413" w:rsidRDefault="00D712A8">
      <w:pPr>
        <w:tabs>
          <w:tab w:val="center" w:pos="360"/>
          <w:tab w:val="center" w:pos="1068"/>
          <w:tab w:val="center" w:pos="1776"/>
          <w:tab w:val="center" w:pos="4215"/>
        </w:tabs>
        <w:spacing w:after="112" w:line="247" w:lineRule="auto"/>
      </w:pPr>
      <w:r>
        <w:tab/>
      </w:r>
      <w:r>
        <w:rPr>
          <w:rFonts w:ascii="Arial" w:eastAsia="Arial" w:hAnsi="Arial" w:cs="Arial"/>
          <w:i/>
        </w:rPr>
        <w:t xml:space="preserve"> </w:t>
      </w:r>
      <w:r>
        <w:rPr>
          <w:rFonts w:ascii="Arial" w:eastAsia="Arial" w:hAnsi="Arial" w:cs="Arial"/>
          <w:i/>
        </w:rPr>
        <w:tab/>
        <w:t xml:space="preserve"> </w:t>
      </w:r>
      <w:r>
        <w:rPr>
          <w:rFonts w:ascii="Arial" w:eastAsia="Arial" w:hAnsi="Arial" w:cs="Arial"/>
          <w:i/>
        </w:rPr>
        <w:tab/>
        <w:t xml:space="preserve"> </w:t>
      </w:r>
      <w:r>
        <w:rPr>
          <w:rFonts w:ascii="Arial" w:eastAsia="Arial" w:hAnsi="Arial" w:cs="Arial"/>
          <w:i/>
        </w:rPr>
        <w:tab/>
        <w:t xml:space="preserve">          PROPUESTA DE ACUERDO  </w:t>
      </w:r>
    </w:p>
    <w:p w:rsidR="00FA7413" w:rsidRDefault="00D712A8">
      <w:pPr>
        <w:spacing w:after="112" w:line="247" w:lineRule="auto"/>
        <w:ind w:left="1078" w:right="62" w:hanging="10"/>
        <w:jc w:val="both"/>
      </w:pPr>
      <w:r>
        <w:rPr>
          <w:rFonts w:ascii="Arial" w:eastAsia="Arial" w:hAnsi="Arial" w:cs="Arial"/>
          <w:i/>
        </w:rPr>
        <w:t xml:space="preserve">Por lo expuesto se eleva la siguiente propuesta al Pleno: </w:t>
      </w:r>
    </w:p>
    <w:p w:rsidR="00FA7413" w:rsidRDefault="00D712A8">
      <w:pPr>
        <w:spacing w:after="0" w:line="247" w:lineRule="auto"/>
        <w:ind w:left="345" w:right="62" w:firstLine="708"/>
        <w:jc w:val="both"/>
      </w:pPr>
      <w:r>
        <w:rPr>
          <w:rFonts w:ascii="Arial" w:eastAsia="Arial" w:hAnsi="Arial" w:cs="Arial"/>
          <w:i/>
        </w:rPr>
        <w:t xml:space="preserve">Primero.- </w:t>
      </w:r>
      <w:r>
        <w:rPr>
          <w:rFonts w:ascii="Arial" w:eastAsia="Arial" w:hAnsi="Arial" w:cs="Arial"/>
          <w:i/>
        </w:rPr>
        <w:t>Tomar conocimiento de la Sentencia nº 411 de 30 de septiembre de 2008 (Procedimiento ordinario 111/2007) de la Sala de lo Contencioso-Administrativo del Tribunal Superior de Justicia de Canarias (Sección Segunda. Santa Cruz de Tenerife) por la que se deses</w:t>
      </w:r>
      <w:r>
        <w:rPr>
          <w:rFonts w:ascii="Arial" w:eastAsia="Arial" w:hAnsi="Arial" w:cs="Arial"/>
          <w:i/>
        </w:rPr>
        <w:t>tima el recurso interpuesto por la entidad mercantil Simón Rueda Inmobiliaria S.L. contra el acuerdo de la Comisión de Ordenación del Territorio y Medio Ambiente de Canarias (COTMAC) del Gobierno de Canarias de 20 de julio de 2006 y de corrección de errore</w:t>
      </w:r>
      <w:r>
        <w:rPr>
          <w:rFonts w:ascii="Arial" w:eastAsia="Arial" w:hAnsi="Arial" w:cs="Arial"/>
          <w:i/>
        </w:rPr>
        <w:t xml:space="preserve">s de 10 de noviembre de 2006 se aprobó definitivamente el Plan General de Ordenación Urbana del municipio de Candelaria </w:t>
      </w:r>
    </w:p>
    <w:p w:rsidR="00FA7413" w:rsidRDefault="00D712A8">
      <w:pPr>
        <w:spacing w:after="112" w:line="247" w:lineRule="auto"/>
        <w:ind w:left="355" w:right="62" w:hanging="10"/>
        <w:jc w:val="both"/>
      </w:pPr>
      <w:r>
        <w:rPr>
          <w:rFonts w:ascii="Arial" w:eastAsia="Arial" w:hAnsi="Arial" w:cs="Arial"/>
          <w:i/>
        </w:rPr>
        <w:t xml:space="preserve">(BOC de 8 de mayo y 10 de mayo de 2007) </w:t>
      </w:r>
    </w:p>
    <w:p w:rsidR="00FA7413" w:rsidRDefault="00D712A8">
      <w:pPr>
        <w:spacing w:after="112" w:line="247" w:lineRule="auto"/>
        <w:ind w:left="1078" w:right="62" w:hanging="10"/>
        <w:jc w:val="both"/>
      </w:pPr>
      <w:r>
        <w:rPr>
          <w:rFonts w:ascii="Arial" w:eastAsia="Arial" w:hAnsi="Arial" w:cs="Arial"/>
          <w:i/>
        </w:rPr>
        <w:t xml:space="preserve">Segundo. - Notificar al presente acuerdo al interesado. </w:t>
      </w:r>
    </w:p>
    <w:p w:rsidR="00FA7413" w:rsidRDefault="00D712A8">
      <w:pPr>
        <w:spacing w:after="100"/>
        <w:ind w:left="360"/>
      </w:pPr>
      <w:r>
        <w:rPr>
          <w:rFonts w:ascii="Arial" w:eastAsia="Arial" w:hAnsi="Arial" w:cs="Arial"/>
          <w:b/>
        </w:rPr>
        <w:t xml:space="preserve"> </w:t>
      </w:r>
    </w:p>
    <w:p w:rsidR="00FA7413" w:rsidRDefault="00D712A8">
      <w:pPr>
        <w:spacing w:after="98"/>
        <w:ind w:left="360"/>
      </w:pPr>
      <w:r>
        <w:rPr>
          <w:rFonts w:ascii="Arial" w:eastAsia="Arial" w:hAnsi="Arial" w:cs="Arial"/>
          <w:b/>
        </w:rPr>
        <w:t xml:space="preserve"> </w:t>
      </w:r>
    </w:p>
    <w:p w:rsidR="00FA7413" w:rsidRDefault="00D712A8">
      <w:pPr>
        <w:spacing w:after="112" w:line="248" w:lineRule="auto"/>
        <w:ind w:left="355" w:right="62" w:hanging="10"/>
        <w:jc w:val="both"/>
      </w:pPr>
      <w:r>
        <w:rPr>
          <w:rFonts w:ascii="Arial" w:eastAsia="Arial" w:hAnsi="Arial" w:cs="Arial"/>
          <w:b/>
        </w:rPr>
        <w:t xml:space="preserve">  Esta Alcaldía-Presidencia eleva</w:t>
      </w:r>
      <w:r>
        <w:rPr>
          <w:rFonts w:ascii="Arial" w:eastAsia="Arial" w:hAnsi="Arial" w:cs="Arial"/>
          <w:b/>
        </w:rPr>
        <w:t xml:space="preserve"> al Pleno, la siguiente propuesta de acuerdo: </w:t>
      </w:r>
    </w:p>
    <w:p w:rsidR="00FA7413" w:rsidRDefault="00D712A8">
      <w:pPr>
        <w:spacing w:after="145" w:line="248" w:lineRule="auto"/>
        <w:ind w:left="345" w:right="62" w:firstLine="708"/>
        <w:jc w:val="both"/>
      </w:pPr>
      <w:r>
        <w:rPr>
          <w:rFonts w:ascii="Arial" w:eastAsia="Arial" w:hAnsi="Arial" w:cs="Arial"/>
          <w:b/>
        </w:rPr>
        <w:t>Primero. - Tomar conocimiento de la Sentencia nº 411 de 30 de septiembre de 2008 (Procedimiento ordinario 111/2007) de la Sala de lo Contencioso-Administrativo del Tribunal Superior de Justicia de Canarias (Se</w:t>
      </w:r>
      <w:r>
        <w:rPr>
          <w:rFonts w:ascii="Arial" w:eastAsia="Arial" w:hAnsi="Arial" w:cs="Arial"/>
          <w:b/>
        </w:rPr>
        <w:t>cción Segunda. Santa Cruz de Tenerife) por la que se desestima el recurso interpuesto por la entidad mercantil Simón Rueda Inmobiliaria S.L. contra el acuerdo de la Comisión de Ordenación del Territorio y Medio Ambiente de Canarias (COTMAC) del Gobierno de</w:t>
      </w:r>
      <w:r>
        <w:rPr>
          <w:rFonts w:ascii="Arial" w:eastAsia="Arial" w:hAnsi="Arial" w:cs="Arial"/>
          <w:b/>
        </w:rPr>
        <w:t xml:space="preserve"> Canarias de 20 de julio de 2006 y de corrección de errores de 10 de noviembre de 2006 se aprobó definitivamente el Plan General de Ordenación Urbana del municipio de Candelaria (BOC de 8 de mayo y 10 de mayo de 2007) </w:t>
      </w:r>
    </w:p>
    <w:p w:rsidR="00FA7413" w:rsidRDefault="00D712A8">
      <w:pPr>
        <w:spacing w:after="112" w:line="248" w:lineRule="auto"/>
        <w:ind w:left="1078" w:right="62" w:hanging="10"/>
        <w:jc w:val="both"/>
      </w:pPr>
      <w:r>
        <w:rPr>
          <w:rFonts w:ascii="Arial" w:eastAsia="Arial" w:hAnsi="Arial" w:cs="Arial"/>
          <w:b/>
        </w:rPr>
        <w:t xml:space="preserve">Segundo. - </w:t>
      </w:r>
      <w:r>
        <w:rPr>
          <w:rFonts w:ascii="Arial" w:eastAsia="Arial" w:hAnsi="Arial" w:cs="Arial"/>
          <w:b/>
        </w:rPr>
        <w:t xml:space="preserve">Notificar al presente acuerdo al interesado.” </w:t>
      </w:r>
    </w:p>
    <w:p w:rsidR="00FA7413" w:rsidRDefault="00D712A8">
      <w:pPr>
        <w:spacing w:after="95"/>
        <w:ind w:left="360"/>
      </w:pPr>
      <w:r>
        <w:rPr>
          <w:rFonts w:ascii="Arial" w:eastAsia="Arial" w:hAnsi="Arial" w:cs="Arial"/>
        </w:rPr>
        <w:t xml:space="preserve"> </w:t>
      </w:r>
    </w:p>
    <w:p w:rsidR="00FA7413" w:rsidRDefault="00D712A8">
      <w:pPr>
        <w:spacing w:after="0"/>
        <w:ind w:left="360"/>
      </w:pPr>
      <w:r>
        <w:rPr>
          <w:noProof/>
        </w:rPr>
        <mc:AlternateContent>
          <mc:Choice Requires="wpg">
            <w:drawing>
              <wp:anchor distT="0" distB="0" distL="114300" distR="114300" simplePos="0" relativeHeight="251686912"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03883" name="Group 203883"/>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4464" name="Rectangle 4464"/>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4465" name="Rectangle 4465"/>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27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3883" style="width:12.7031pt;height:275.586pt;position:absolute;mso-position-horizontal-relative:page;mso-position-horizontal:absolute;margin-left:682.278pt;mso-position-vertical-relative:page;margin-top:536.334pt;" coordsize="1613,34999">
                <v:rect id="Rectangle 4464"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4465"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 de 180 </w:t>
                        </w:r>
                      </w:p>
                    </w:txbxContent>
                  </v:textbox>
                </v:rect>
                <w10:wrap type="square"/>
              </v:group>
            </w:pict>
          </mc:Fallback>
        </mc:AlternateContent>
      </w: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DICTAM</w:t>
      </w:r>
      <w:r>
        <w:rPr>
          <w:rFonts w:ascii="Arial" w:eastAsia="Arial" w:hAnsi="Arial" w:cs="Arial"/>
          <w:b/>
        </w:rPr>
        <w:t xml:space="preserve">EN FAVORABLE DE LA COMISIÓN INFORMATIVA DE P.G. URBANÍSTICA Y AMBIENTAL, OBRAS y SERVICIOS PÚBLICOS DE 21 DE JUNIO DE 2021.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 xml:space="preserve">Por el Secretario se procede a dar lectura del oficio de la Secretaría General de 31 de enero de 2020 a Servicios Generales que </w:t>
      </w:r>
      <w:r>
        <w:rPr>
          <w:rFonts w:ascii="Arial" w:eastAsia="Arial" w:hAnsi="Arial" w:cs="Arial"/>
          <w:b/>
        </w:rPr>
        <w:t xml:space="preserve">da origen a la tramitación de estos expedientes que transcrito literalmente dice: </w:t>
      </w:r>
    </w:p>
    <w:p w:rsidR="00FA7413" w:rsidRDefault="00D712A8">
      <w:pPr>
        <w:spacing w:after="0"/>
        <w:ind w:left="360"/>
      </w:pPr>
      <w:r>
        <w:rPr>
          <w:rFonts w:ascii="Arial" w:eastAsia="Arial" w:hAnsi="Arial" w:cs="Arial"/>
          <w:i/>
        </w:rPr>
        <w:t xml:space="preserve"> </w:t>
      </w:r>
    </w:p>
    <w:p w:rsidR="00FA7413" w:rsidRDefault="00D712A8">
      <w:pPr>
        <w:spacing w:after="0" w:line="247" w:lineRule="auto"/>
        <w:ind w:left="355" w:right="62" w:hanging="10"/>
        <w:jc w:val="both"/>
      </w:pPr>
      <w:r>
        <w:rPr>
          <w:rFonts w:ascii="Arial" w:eastAsia="Arial" w:hAnsi="Arial" w:cs="Arial"/>
          <w:i/>
        </w:rPr>
        <w:t>“Visto que según reunión mantenida por la Secretaria General con el Área de Urbanismo el 31 de enero de 2020 se ha puesto de conocimiento de la existencia de sentencias fi</w:t>
      </w:r>
      <w:r>
        <w:rPr>
          <w:rFonts w:ascii="Arial" w:eastAsia="Arial" w:hAnsi="Arial" w:cs="Arial"/>
          <w:i/>
        </w:rPr>
        <w:t>rmes que afectan al Plan General de Ordenación vigente del municipio de Candelaria de las que no se ha tomado conocimiento por el Pleno de la Corporación y en consecuencia no se han ejecutado llevándolas a puro y debido efecto como exige la Ley 29/1998, de</w:t>
      </w:r>
      <w:r>
        <w:rPr>
          <w:rFonts w:ascii="Arial" w:eastAsia="Arial" w:hAnsi="Arial" w:cs="Arial"/>
          <w:i/>
        </w:rPr>
        <w:t xml:space="preserve"> la Jurisdicción Contencioso-Administrativa.  </w:t>
      </w:r>
    </w:p>
    <w:p w:rsidR="00FA7413" w:rsidRDefault="00D712A8">
      <w:pPr>
        <w:spacing w:after="0"/>
        <w:ind w:left="360"/>
      </w:pPr>
      <w:r>
        <w:rPr>
          <w:rFonts w:ascii="Arial" w:eastAsia="Arial" w:hAnsi="Arial" w:cs="Arial"/>
        </w:rPr>
        <w:t xml:space="preserve"> </w:t>
      </w:r>
    </w:p>
    <w:p w:rsidR="00FA7413" w:rsidRDefault="00D712A8">
      <w:pPr>
        <w:spacing w:after="0" w:line="247" w:lineRule="auto"/>
        <w:ind w:left="355" w:right="62" w:hanging="10"/>
        <w:jc w:val="both"/>
      </w:pPr>
      <w:r>
        <w:rPr>
          <w:rFonts w:ascii="Arial" w:eastAsia="Arial" w:hAnsi="Arial" w:cs="Arial"/>
          <w:i/>
        </w:rPr>
        <w:t xml:space="preserve">Visto que ya consta en el expediente 10989/2019 que la Concejal delegada de Planificación y Gestión Urbanística y Ambiental emitió oficio el 12 de noviembre de 2019 solicitando dichas sentencias a Servicios </w:t>
      </w:r>
      <w:r>
        <w:rPr>
          <w:rFonts w:ascii="Arial" w:eastAsia="Arial" w:hAnsi="Arial" w:cs="Arial"/>
          <w:i/>
        </w:rPr>
        <w:t xml:space="preserve">Generales y de las que no se tiene conocimiento que se han remitido para su toma de conocimiento por el pleno y su ejecución correspondiente.  </w:t>
      </w:r>
    </w:p>
    <w:p w:rsidR="00FA7413" w:rsidRDefault="00D712A8">
      <w:pPr>
        <w:spacing w:after="0"/>
        <w:ind w:left="360"/>
      </w:pPr>
      <w:r>
        <w:rPr>
          <w:rFonts w:ascii="Arial" w:eastAsia="Arial" w:hAnsi="Arial" w:cs="Arial"/>
        </w:rPr>
        <w:t xml:space="preserve"> </w:t>
      </w:r>
    </w:p>
    <w:p w:rsidR="00FA7413" w:rsidRDefault="00D712A8">
      <w:pPr>
        <w:spacing w:after="0" w:line="247" w:lineRule="auto"/>
        <w:ind w:left="355" w:right="62" w:hanging="10"/>
        <w:jc w:val="both"/>
      </w:pPr>
      <w:r>
        <w:rPr>
          <w:rFonts w:ascii="Arial" w:eastAsia="Arial" w:hAnsi="Arial" w:cs="Arial"/>
          <w:i/>
        </w:rPr>
        <w:t>Se le solicita al Departamento de Servicios Generales, Contratación y Bienes que en el período improrrogable c</w:t>
      </w:r>
      <w:r>
        <w:rPr>
          <w:rFonts w:ascii="Arial" w:eastAsia="Arial" w:hAnsi="Arial" w:cs="Arial"/>
          <w:i/>
        </w:rPr>
        <w:t>omprendido desde el 3 al 28 de febrero de 2020 remita a Secretaría General debidamente ordenados y clasificados con un oficio de remisión, todos los expedientes originales que obren en ese Departamento entre el año 2007 hasta el año 2020 sobre sentencias r</w:t>
      </w:r>
      <w:r>
        <w:rPr>
          <w:rFonts w:ascii="Arial" w:eastAsia="Arial" w:hAnsi="Arial" w:cs="Arial"/>
          <w:i/>
        </w:rPr>
        <w:t>esultantes de impugnaciones del orden jurisdiccional contencioso-administrativo relativas al Plan General de Ordenación actualmente vigente publicado en el BOP de 17 de mayo de 2007 a los efectos de preparar el expediente con los informes técnicos y jurídi</w:t>
      </w:r>
      <w:r>
        <w:rPr>
          <w:rFonts w:ascii="Arial" w:eastAsia="Arial" w:hAnsi="Arial" w:cs="Arial"/>
          <w:i/>
        </w:rPr>
        <w:t>cos correspondientes para su toma de conocimiento por el Pleno ordinario de marzo y la ejecución y cumplimiento de dichas sentencias”.</w:t>
      </w:r>
      <w:r>
        <w:rPr>
          <w:rFonts w:ascii="Times New Roman" w:eastAsia="Times New Roman" w:hAnsi="Times New Roman" w:cs="Times New Roman"/>
          <w:sz w:val="24"/>
        </w:rPr>
        <w:t xml:space="preserve"> </w:t>
      </w:r>
    </w:p>
    <w:p w:rsidR="00FA7413" w:rsidRDefault="00D712A8">
      <w:pPr>
        <w:spacing w:after="0"/>
        <w:ind w:left="360"/>
      </w:pPr>
      <w:r>
        <w:rPr>
          <w:rFonts w:ascii="Arial" w:eastAsia="Arial" w:hAnsi="Arial" w:cs="Arial"/>
          <w:b/>
          <w:i/>
        </w:rPr>
        <w:t xml:space="preserve">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2" w:hanging="10"/>
        <w:jc w:val="both"/>
      </w:pPr>
      <w:r>
        <w:rPr>
          <w:rFonts w:ascii="Arial" w:eastAsia="Arial" w:hAnsi="Arial" w:cs="Arial"/>
          <w:b/>
        </w:rPr>
        <w:t xml:space="preserve">Las 7 concejalas presentes tomaron conocimiento: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Los 4 concejales del Grupo Socialista: Doña Hilaria Cecilia Otazo González, Don José Francisco </w:t>
      </w:r>
    </w:p>
    <w:p w:rsidR="00FA7413" w:rsidRDefault="00D712A8">
      <w:pPr>
        <w:spacing w:after="11" w:line="248" w:lineRule="auto"/>
        <w:ind w:left="355" w:right="64" w:hanging="10"/>
        <w:jc w:val="both"/>
      </w:pPr>
      <w:r>
        <w:rPr>
          <w:rFonts w:ascii="Arial" w:eastAsia="Arial" w:hAnsi="Arial" w:cs="Arial"/>
        </w:rPr>
        <w:t xml:space="preserve">Pinto Ramos, Doña María del Carmen Clemente Díaz y Don Olegario Francisco Alonso Bello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La concejal del Grupo Popular, Doña Raquel Martín Castro.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 xml:space="preserve">La 2 concejalas del Grupo Mixto: Doña Lourdes del Carmen Mondéjar Rondón (SSP)  y Doña Ángela Cruz Perera (CC).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355" w:right="62" w:hanging="10"/>
        <w:jc w:val="both"/>
      </w:pPr>
      <w:r>
        <w:rPr>
          <w:rFonts w:ascii="Arial" w:eastAsia="Arial" w:hAnsi="Arial" w:cs="Arial"/>
          <w:b/>
        </w:rPr>
        <w:t xml:space="preserve">JUNTA DE PORTAVOCES DE 21 DE JUNIO DE 2021.  </w:t>
      </w:r>
    </w:p>
    <w:p w:rsidR="00FA7413" w:rsidRDefault="00D712A8">
      <w:pPr>
        <w:spacing w:after="11" w:line="248" w:lineRule="auto"/>
        <w:ind w:left="355" w:right="64" w:hanging="10"/>
        <w:jc w:val="both"/>
      </w:pPr>
      <w:r>
        <w:rPr>
          <w:rFonts w:ascii="Arial" w:eastAsia="Arial" w:hAnsi="Arial" w:cs="Arial"/>
        </w:rPr>
        <w:t xml:space="preserve">Quedó oída.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355" w:right="62" w:hanging="10"/>
        <w:jc w:val="both"/>
      </w:pPr>
      <w:r>
        <w:rPr>
          <w:rFonts w:ascii="Arial" w:eastAsia="Arial" w:hAnsi="Arial" w:cs="Arial"/>
          <w:b/>
        </w:rPr>
        <w:t xml:space="preserve">TOMA DE CONOCIMIENTO EN EL PLENO DE 24 DE JUNIO DE 2021.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355" w:right="64" w:hanging="10"/>
        <w:jc w:val="both"/>
      </w:pPr>
      <w:r>
        <w:rPr>
          <w:noProof/>
        </w:rPr>
        <mc:AlternateContent>
          <mc:Choice Requires="wpg">
            <w:drawing>
              <wp:anchor distT="0" distB="0" distL="114300" distR="114300" simplePos="0" relativeHeight="251687936"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01036" name="Group 201036"/>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4584" name="Rectangle 4584"/>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4585" name="Rectangle 4585"/>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28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1036" style="width:12.7031pt;height:275.586pt;position:absolute;mso-position-horizontal-relative:page;mso-position-horizontal:absolute;margin-left:682.278pt;mso-position-vertical-relative:page;margin-top:536.334pt;" coordsize="1613,34999">
                <v:rect id="Rectangle 4584"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4585"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 de 180 </w:t>
                        </w:r>
                      </w:p>
                    </w:txbxContent>
                  </v:textbox>
                </v:rect>
                <w10:wrap type="square"/>
              </v:group>
            </w:pict>
          </mc:Fallback>
        </mc:AlternateContent>
      </w:r>
      <w:r>
        <w:rPr>
          <w:rFonts w:ascii="Arial" w:eastAsia="Arial" w:hAnsi="Arial" w:cs="Arial"/>
        </w:rPr>
        <w:t xml:space="preserve">Los 18 concejales presentes tomaron conocimiento: </w:t>
      </w:r>
    </w:p>
    <w:p w:rsidR="00FA7413" w:rsidRDefault="00D712A8">
      <w:pPr>
        <w:spacing w:after="0"/>
        <w:ind w:left="360"/>
      </w:pPr>
      <w:r>
        <w:rPr>
          <w:rFonts w:ascii="Arial" w:eastAsia="Arial" w:hAnsi="Arial" w:cs="Arial"/>
          <w:b/>
        </w:rPr>
        <w:t xml:space="preserve"> </w:t>
      </w:r>
    </w:p>
    <w:p w:rsidR="00FA7413" w:rsidRDefault="00D712A8">
      <w:pPr>
        <w:spacing w:after="109" w:line="248" w:lineRule="auto"/>
        <w:ind w:left="345" w:right="64" w:firstLine="708"/>
        <w:jc w:val="both"/>
      </w:pPr>
      <w:r>
        <w:rPr>
          <w:rFonts w:ascii="Arial" w:eastAsia="Arial" w:hAnsi="Arial" w:cs="Arial"/>
        </w:rPr>
        <w:t>11 concej</w:t>
      </w:r>
      <w:r>
        <w:rPr>
          <w:rFonts w:ascii="Arial" w:eastAsia="Arial" w:hAnsi="Arial" w:cs="Arial"/>
        </w:rPr>
        <w:t>ales del Grupo Socialista: Doña María Concepción Brito Núñez, Don Jorge Baute Delgado, Doña Olivia Concepción Pérez Díaz, Don José Francisco Pinto Ramos, Doña Hilaria Cecilia Otazo González, Don Airam Pérez Chinea, Doña Margarita Eva Tendero Barroso, Don M</w:t>
      </w:r>
      <w:r>
        <w:rPr>
          <w:rFonts w:ascii="Arial" w:eastAsia="Arial" w:hAnsi="Arial" w:cs="Arial"/>
        </w:rPr>
        <w:t xml:space="preserve">anuel Alberto González Pestano, Doña María del Carmen Clemente Díaz, Don Olegario Francisco Alonso Bello y Don Reinaldo José Triviño Blanco. </w:t>
      </w:r>
    </w:p>
    <w:p w:rsidR="00FA7413" w:rsidRDefault="00D712A8">
      <w:pPr>
        <w:spacing w:after="109" w:line="248" w:lineRule="auto"/>
        <w:ind w:left="345" w:right="64" w:firstLine="708"/>
        <w:jc w:val="both"/>
      </w:pPr>
      <w:r>
        <w:rPr>
          <w:rFonts w:ascii="Arial" w:eastAsia="Arial" w:hAnsi="Arial" w:cs="Arial"/>
        </w:rPr>
        <w:t>3 concejales del Grupo Popular: Don Andrés Rodríguez Delgado, Don Jacobo López Fariña y Doña Raquel Martín Castro.</w:t>
      </w:r>
      <w:r>
        <w:rPr>
          <w:rFonts w:ascii="Arial" w:eastAsia="Arial" w:hAnsi="Arial" w:cs="Arial"/>
        </w:rPr>
        <w:t xml:space="preserve"> </w:t>
      </w:r>
    </w:p>
    <w:p w:rsidR="00FA7413" w:rsidRDefault="00D712A8">
      <w:pPr>
        <w:spacing w:after="109" w:line="248" w:lineRule="auto"/>
        <w:ind w:left="345" w:right="64" w:firstLine="708"/>
        <w:jc w:val="both"/>
      </w:pPr>
      <w:r>
        <w:rPr>
          <w:rFonts w:ascii="Arial" w:eastAsia="Arial" w:hAnsi="Arial" w:cs="Arial"/>
        </w:rPr>
        <w:t xml:space="preserve">3 de los concejales del Grupo Mixto: Don Antonio Delgado García y Doña Lourdes del Carmen Mondéjar Rondón (SSP) y  Doña Ángela Cruz Perera (CC). </w:t>
      </w:r>
    </w:p>
    <w:p w:rsidR="00FA7413" w:rsidRDefault="00D712A8">
      <w:pPr>
        <w:spacing w:after="109" w:line="248" w:lineRule="auto"/>
        <w:ind w:left="1078" w:right="64" w:hanging="10"/>
        <w:jc w:val="both"/>
      </w:pPr>
      <w:r>
        <w:rPr>
          <w:rFonts w:ascii="Arial" w:eastAsia="Arial" w:hAnsi="Arial" w:cs="Arial"/>
        </w:rPr>
        <w:t xml:space="preserve">1 de la concejal del Grupo Mixto (VxC): Doña Alicia Mercedes Marrero Meneses.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1789" w:right="62" w:hanging="10"/>
        <w:jc w:val="both"/>
      </w:pPr>
      <w:r>
        <w:rPr>
          <w:rFonts w:ascii="Arial" w:eastAsia="Arial" w:hAnsi="Arial" w:cs="Arial"/>
          <w:b/>
        </w:rPr>
        <w:t xml:space="preserve">ACUERDO DEL PLENO DE 24 DE </w:t>
      </w:r>
      <w:r>
        <w:rPr>
          <w:rFonts w:ascii="Arial" w:eastAsia="Arial" w:hAnsi="Arial" w:cs="Arial"/>
          <w:b/>
        </w:rPr>
        <w:t xml:space="preserve">JUNIO DE 2021. </w:t>
      </w:r>
    </w:p>
    <w:p w:rsidR="00FA7413" w:rsidRDefault="00D712A8">
      <w:pPr>
        <w:spacing w:after="0"/>
        <w:ind w:left="360"/>
      </w:pPr>
      <w:r>
        <w:rPr>
          <w:rFonts w:ascii="Arial" w:eastAsia="Arial" w:hAnsi="Arial" w:cs="Arial"/>
          <w:b/>
        </w:rPr>
        <w:t xml:space="preserve"> </w:t>
      </w:r>
    </w:p>
    <w:p w:rsidR="00FA7413" w:rsidRDefault="00D712A8">
      <w:pPr>
        <w:spacing w:after="112" w:line="248" w:lineRule="auto"/>
        <w:ind w:left="345" w:right="62" w:firstLine="708"/>
        <w:jc w:val="both"/>
      </w:pPr>
      <w:r>
        <w:rPr>
          <w:rFonts w:ascii="Arial" w:eastAsia="Arial" w:hAnsi="Arial" w:cs="Arial"/>
          <w:b/>
        </w:rPr>
        <w:t xml:space="preserve">Primero. - Tomar conocimiento de la Sentencia nº 411 de 30 de septiembre de 2008 (Procedimiento ordinario 111/2007) de la Sala de lo Contencioso-Administrativo del Tribunal Superior de Justicia de Canarias (Sección Segunda. Santa Cruz de </w:t>
      </w:r>
      <w:r>
        <w:rPr>
          <w:rFonts w:ascii="Arial" w:eastAsia="Arial" w:hAnsi="Arial" w:cs="Arial"/>
          <w:b/>
        </w:rPr>
        <w:t>Tenerife) por la que se desestima el recurso interpuesto por la entidad mercantil Simón Rueda Inmobiliaria S.L. contra el acuerdo de la Comisión de Ordenación del Territorio y Medio Ambiente de Canarias (COTMAC) del Gobierno de Canarias de 20 de julio de 2</w:t>
      </w:r>
      <w:r>
        <w:rPr>
          <w:rFonts w:ascii="Arial" w:eastAsia="Arial" w:hAnsi="Arial" w:cs="Arial"/>
          <w:b/>
        </w:rPr>
        <w:t xml:space="preserve">006 y de corrección de errores de 10 de noviembre de 2006 se aprobó definitivamente el Plan General de Ordenación Urbana del municipio de Candelaria (BOC de 8 de mayo y 10 de mayo de 2007) </w:t>
      </w:r>
    </w:p>
    <w:p w:rsidR="00FA7413" w:rsidRDefault="00D712A8">
      <w:pPr>
        <w:spacing w:after="112" w:line="248" w:lineRule="auto"/>
        <w:ind w:left="1078" w:right="62" w:hanging="10"/>
        <w:jc w:val="both"/>
      </w:pPr>
      <w:r>
        <w:rPr>
          <w:rFonts w:ascii="Arial" w:eastAsia="Arial" w:hAnsi="Arial" w:cs="Arial"/>
          <w:b/>
        </w:rPr>
        <w:t xml:space="preserve">Segundo. - Notificar al presente acuerdo al interesado.” </w:t>
      </w:r>
    </w:p>
    <w:p w:rsidR="00FA7413" w:rsidRDefault="00D712A8">
      <w:pPr>
        <w:spacing w:after="117"/>
        <w:ind w:left="360"/>
      </w:pPr>
      <w:r>
        <w:rPr>
          <w:rFonts w:ascii="Arial" w:eastAsia="Arial" w:hAnsi="Arial" w:cs="Arial"/>
          <w:b/>
        </w:rPr>
        <w:t xml:space="preserve"> </w:t>
      </w:r>
    </w:p>
    <w:p w:rsidR="00FA7413" w:rsidRDefault="00D712A8">
      <w:pPr>
        <w:spacing w:after="93" w:line="249" w:lineRule="auto"/>
        <w:ind w:left="355" w:right="66" w:hanging="10"/>
        <w:jc w:val="both"/>
      </w:pPr>
      <w:r>
        <w:rPr>
          <w:rFonts w:ascii="Arial" w:eastAsia="Arial" w:hAnsi="Arial" w:cs="Arial"/>
          <w:b/>
          <w:sz w:val="24"/>
        </w:rPr>
        <w:t xml:space="preserve">5.- </w:t>
      </w:r>
      <w:r>
        <w:rPr>
          <w:rFonts w:ascii="Arial" w:eastAsia="Arial" w:hAnsi="Arial" w:cs="Arial"/>
          <w:b/>
          <w:sz w:val="24"/>
        </w:rPr>
        <w:t>Expediente 2257/2020. Toma de conocimiento de la sentencia del Tribunal Superior de Justicia de Canarias de 6 de marzo de 2009 por la que se desestima el recurso interpuesto por Don José Higuera Leal contra el PGO de Candelaria.</w:t>
      </w:r>
      <w:r>
        <w:rPr>
          <w:rFonts w:ascii="Arial" w:eastAsia="Arial" w:hAnsi="Arial" w:cs="Arial"/>
          <w:sz w:val="24"/>
        </w:rPr>
        <w:t xml:space="preserve"> </w:t>
      </w:r>
    </w:p>
    <w:p w:rsidR="00FA7413" w:rsidRDefault="00D712A8">
      <w:pPr>
        <w:spacing w:after="98"/>
        <w:ind w:left="360"/>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112" w:line="248" w:lineRule="auto"/>
        <w:ind w:left="355" w:right="62" w:hanging="10"/>
        <w:jc w:val="both"/>
      </w:pPr>
      <w:r>
        <w:rPr>
          <w:rFonts w:ascii="Arial" w:eastAsia="Arial" w:hAnsi="Arial" w:cs="Arial"/>
          <w:b/>
        </w:rPr>
        <w:t xml:space="preserve">  Consta en el expedie</w:t>
      </w:r>
      <w:r>
        <w:rPr>
          <w:rFonts w:ascii="Arial" w:eastAsia="Arial" w:hAnsi="Arial" w:cs="Arial"/>
          <w:b/>
        </w:rPr>
        <w:t>nte Informe Jurídico emitido por Don Octavio Manuel Fernández Hernández, que desempeña el puesto de trabajo de Secretario General, de 14 de junio de 2021, del siguiente tenor literal:</w:t>
      </w:r>
      <w:r>
        <w:rPr>
          <w:rFonts w:ascii="Arial" w:eastAsia="Arial" w:hAnsi="Arial" w:cs="Arial"/>
        </w:rPr>
        <w:t xml:space="preserve"> </w:t>
      </w:r>
    </w:p>
    <w:p w:rsidR="00FA7413" w:rsidRDefault="00D712A8">
      <w:pPr>
        <w:spacing w:after="108"/>
        <w:ind w:left="360"/>
      </w:pPr>
      <w:r>
        <w:rPr>
          <w:rFonts w:ascii="Arial" w:eastAsia="Arial" w:hAnsi="Arial" w:cs="Arial"/>
          <w:b/>
        </w:rPr>
        <w:t xml:space="preserve"> </w:t>
      </w:r>
    </w:p>
    <w:p w:rsidR="00FA7413" w:rsidRDefault="00D712A8">
      <w:pPr>
        <w:pStyle w:val="Ttulo1"/>
        <w:ind w:left="1013" w:right="2429"/>
      </w:pPr>
      <w:r>
        <w:t xml:space="preserve">                      “INFORME                             </w:t>
      </w:r>
      <w:r>
        <w:rPr>
          <w:b w:val="0"/>
        </w:rPr>
        <w:t xml:space="preserve"> </w:t>
      </w:r>
    </w:p>
    <w:p w:rsidR="00FA7413" w:rsidRDefault="00D712A8">
      <w:pPr>
        <w:spacing w:after="112" w:line="248" w:lineRule="auto"/>
        <w:ind w:left="1078" w:right="62" w:hanging="10"/>
        <w:jc w:val="both"/>
      </w:pPr>
      <w:r>
        <w:rPr>
          <w:rFonts w:ascii="Arial" w:eastAsia="Arial" w:hAnsi="Arial" w:cs="Arial"/>
          <w:b/>
        </w:rPr>
        <w:t>Visto el expediente antedicho, se emite el siguiente informe jurídico:</w:t>
      </w:r>
      <w:r>
        <w:rPr>
          <w:rFonts w:ascii="Arial" w:eastAsia="Arial" w:hAnsi="Arial" w:cs="Arial"/>
        </w:rPr>
        <w:t xml:space="preserve">  </w:t>
      </w:r>
    </w:p>
    <w:p w:rsidR="00FA7413" w:rsidRDefault="00D712A8">
      <w:pPr>
        <w:spacing w:after="112" w:line="248" w:lineRule="auto"/>
        <w:ind w:left="3208" w:right="62" w:hanging="10"/>
        <w:jc w:val="both"/>
      </w:pPr>
      <w:r>
        <w:rPr>
          <w:rFonts w:ascii="Arial" w:eastAsia="Arial" w:hAnsi="Arial" w:cs="Arial"/>
          <w:b/>
        </w:rPr>
        <w:t xml:space="preserve">Antecedentes de hecho   </w:t>
      </w:r>
    </w:p>
    <w:p w:rsidR="00FA7413" w:rsidRDefault="00D712A8">
      <w:pPr>
        <w:spacing w:after="109" w:line="248" w:lineRule="auto"/>
        <w:ind w:left="345" w:right="64" w:firstLine="708"/>
        <w:jc w:val="both"/>
      </w:pPr>
      <w:r>
        <w:rPr>
          <w:rFonts w:ascii="Arial" w:eastAsia="Arial" w:hAnsi="Arial" w:cs="Arial"/>
          <w:b/>
        </w:rPr>
        <w:t xml:space="preserve">Primero. - </w:t>
      </w:r>
      <w:r>
        <w:rPr>
          <w:rFonts w:ascii="Arial" w:eastAsia="Arial" w:hAnsi="Arial" w:cs="Arial"/>
        </w:rPr>
        <w:t xml:space="preserve">Por Acuerdo de la Comisión de Ordenación del Territorio y Medio Ambiente de Canarias (COTMAC) del Gobierno de Canarias de 20 de julio de 2006 y de </w:t>
      </w:r>
      <w:r>
        <w:rPr>
          <w:rFonts w:ascii="Arial" w:eastAsia="Arial" w:hAnsi="Arial" w:cs="Arial"/>
        </w:rPr>
        <w:t xml:space="preserve">corrección de errores de 10 de noviembre de 2006 se aprobó definitivamente el Plan General de Ordenación Urbana del municipio de Candelaria (BOC de 8 de mayo y 10 de mayo de 2007) (BOP 17 de mayo de 2007) </w:t>
      </w:r>
    </w:p>
    <w:p w:rsidR="00FA7413" w:rsidRDefault="00D712A8">
      <w:pPr>
        <w:spacing w:after="109" w:line="248" w:lineRule="auto"/>
        <w:ind w:left="345" w:right="64" w:firstLine="708"/>
        <w:jc w:val="both"/>
      </w:pPr>
      <w:r>
        <w:rPr>
          <w:noProof/>
        </w:rPr>
        <mc:AlternateContent>
          <mc:Choice Requires="wpg">
            <w:drawing>
              <wp:anchor distT="0" distB="0" distL="114300" distR="114300" simplePos="0" relativeHeight="251688960"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01639" name="Group 201639"/>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4757" name="Rectangle 4757"/>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4758" name="Rectangle 4758"/>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29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1639" style="width:12.7031pt;height:275.586pt;position:absolute;mso-position-horizontal-relative:page;mso-position-horizontal:absolute;margin-left:682.278pt;mso-position-vertical-relative:page;margin-top:536.334pt;" coordsize="1613,34999">
                <v:rect id="Rectangle 4757"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4758"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 de 180 </w:t>
                        </w:r>
                      </w:p>
                    </w:txbxContent>
                  </v:textbox>
                </v:rect>
                <w10:wrap type="square"/>
              </v:group>
            </w:pict>
          </mc:Fallback>
        </mc:AlternateContent>
      </w:r>
      <w:r>
        <w:rPr>
          <w:rFonts w:ascii="Arial" w:eastAsia="Arial" w:hAnsi="Arial" w:cs="Arial"/>
          <w:b/>
        </w:rPr>
        <w:t>Segundo. -</w:t>
      </w:r>
      <w:r>
        <w:rPr>
          <w:rFonts w:ascii="Arial" w:eastAsia="Arial" w:hAnsi="Arial" w:cs="Arial"/>
        </w:rPr>
        <w:t xml:space="preserve"> Que se interpuso recurso contencioso-administrativo</w:t>
      </w:r>
      <w:r>
        <w:rPr>
          <w:rFonts w:ascii="Arial" w:eastAsia="Arial" w:hAnsi="Arial" w:cs="Arial"/>
        </w:rPr>
        <w:t xml:space="preserve"> contra el acuerdo mencionado en el punto primero por Don José Higuera Leal. </w:t>
      </w:r>
    </w:p>
    <w:p w:rsidR="00FA7413" w:rsidRDefault="00D712A8">
      <w:pPr>
        <w:spacing w:after="109" w:line="248" w:lineRule="auto"/>
        <w:ind w:left="355" w:right="64" w:hanging="10"/>
        <w:jc w:val="both"/>
      </w:pPr>
      <w:r>
        <w:rPr>
          <w:rFonts w:ascii="Arial" w:eastAsia="Arial" w:hAnsi="Arial" w:cs="Arial"/>
          <w:b/>
        </w:rPr>
        <w:t xml:space="preserve"> </w:t>
      </w:r>
      <w:r>
        <w:rPr>
          <w:rFonts w:ascii="Arial" w:eastAsia="Arial" w:hAnsi="Arial" w:cs="Arial"/>
          <w:b/>
        </w:rPr>
        <w:tab/>
        <w:t xml:space="preserve">Tercero. - </w:t>
      </w:r>
      <w:r>
        <w:rPr>
          <w:rFonts w:ascii="Arial" w:eastAsia="Arial" w:hAnsi="Arial" w:cs="Arial"/>
        </w:rPr>
        <w:t xml:space="preserve">Que consta en el expediente sentencia que ha remitido Servicios Generales a la Secretaría General con fecha 26 de febrero de 2020: </w:t>
      </w:r>
    </w:p>
    <w:p w:rsidR="00FA7413" w:rsidRDefault="00D712A8">
      <w:pPr>
        <w:spacing w:after="117" w:line="241" w:lineRule="auto"/>
        <w:ind w:left="355" w:hanging="10"/>
      </w:pPr>
      <w:r>
        <w:rPr>
          <w:rFonts w:ascii="Arial" w:eastAsia="Arial" w:hAnsi="Arial" w:cs="Arial"/>
        </w:rPr>
        <w:t xml:space="preserve">Sentencia de 6 de marzo de 2009. </w:t>
      </w:r>
      <w:r>
        <w:rPr>
          <w:rFonts w:ascii="Arial" w:eastAsia="Arial" w:hAnsi="Arial" w:cs="Arial"/>
        </w:rPr>
        <w:t xml:space="preserve">Procedimiento ordinario 112/2007. Sala de lo ContenciosoAdministrativo del Tribunal Superior de Justicia de Canarias. Sección Segunda. Santa Cruz de Tenerife. </w:t>
      </w:r>
    </w:p>
    <w:p w:rsidR="00FA7413" w:rsidRDefault="00D712A8">
      <w:pPr>
        <w:spacing w:after="138" w:line="247" w:lineRule="auto"/>
        <w:ind w:left="355" w:right="62" w:hanging="10"/>
        <w:jc w:val="both"/>
      </w:pPr>
      <w:r>
        <w:rPr>
          <w:rFonts w:ascii="Arial" w:eastAsia="Arial" w:hAnsi="Arial" w:cs="Arial"/>
        </w:rPr>
        <w:t>Fallo:</w:t>
      </w:r>
      <w:r>
        <w:rPr>
          <w:rFonts w:ascii="Arial" w:eastAsia="Arial" w:hAnsi="Arial" w:cs="Arial"/>
          <w:i/>
        </w:rPr>
        <w:t xml:space="preserve"> Desestimamos el recurso contencioso-administrativo núm. 112/2007, sin imposición de costa</w:t>
      </w:r>
      <w:r>
        <w:rPr>
          <w:rFonts w:ascii="Arial" w:eastAsia="Arial" w:hAnsi="Arial" w:cs="Arial"/>
          <w:i/>
        </w:rPr>
        <w:t>s.</w:t>
      </w:r>
      <w:r>
        <w:rPr>
          <w:rFonts w:ascii="Arial" w:eastAsia="Arial" w:hAnsi="Arial" w:cs="Arial"/>
        </w:rPr>
        <w:t xml:space="preserve"> </w:t>
      </w:r>
    </w:p>
    <w:p w:rsidR="00FA7413" w:rsidRDefault="00D712A8">
      <w:pPr>
        <w:spacing w:after="155" w:line="248" w:lineRule="auto"/>
        <w:ind w:left="345" w:right="62" w:firstLine="708"/>
        <w:jc w:val="both"/>
      </w:pPr>
      <w:r>
        <w:rPr>
          <w:rFonts w:ascii="Arial" w:eastAsia="Arial" w:hAnsi="Arial" w:cs="Arial"/>
          <w:b/>
        </w:rPr>
        <w:t xml:space="preserve">Cuarto. - “Que con fecha 7 de junio de 2021 ha tenido entrada en el Ayuntamiento de Candelaria, el oficio del Gobierno de Canarias que en relación al presente expediente dice: </w:t>
      </w:r>
    </w:p>
    <w:p w:rsidR="00FA7413" w:rsidRDefault="00D712A8">
      <w:pPr>
        <w:spacing w:after="112" w:line="247" w:lineRule="auto"/>
        <w:ind w:left="355" w:right="62" w:hanging="10"/>
        <w:jc w:val="both"/>
      </w:pPr>
      <w:r>
        <w:rPr>
          <w:rFonts w:ascii="Arial" w:eastAsia="Arial" w:hAnsi="Arial" w:cs="Arial"/>
          <w:b/>
        </w:rPr>
        <w:t xml:space="preserve"> </w:t>
      </w:r>
      <w:r>
        <w:rPr>
          <w:rFonts w:ascii="Arial" w:eastAsia="Arial" w:hAnsi="Arial" w:cs="Arial"/>
          <w:i/>
        </w:rPr>
        <w:t>“En los casos de las sentencias de los expedientes número 2252/2020, 2280/</w:t>
      </w:r>
      <w:r>
        <w:rPr>
          <w:rFonts w:ascii="Arial" w:eastAsia="Arial" w:hAnsi="Arial" w:cs="Arial"/>
          <w:i/>
        </w:rPr>
        <w:t>2020, 2257/2020, 2254/2020, 2284/2020 y 2282/2020 dado que se refieren a procedimientos en los que los recursos interpuestos han sido desestimados por considerarse que el acto recurrido es ajustado a derecho, no se requiere de actuación alguna tendente a l</w:t>
      </w:r>
      <w:r>
        <w:rPr>
          <w:rFonts w:ascii="Arial" w:eastAsia="Arial" w:hAnsi="Arial" w:cs="Arial"/>
          <w:i/>
        </w:rPr>
        <w:t>a ejecución de su fallo.</w:t>
      </w:r>
      <w:r>
        <w:rPr>
          <w:rFonts w:ascii="Arial" w:eastAsia="Arial" w:hAnsi="Arial" w:cs="Arial"/>
        </w:rPr>
        <w:t xml:space="preserve"> </w:t>
      </w:r>
    </w:p>
    <w:p w:rsidR="00FA7413" w:rsidRDefault="00D712A8">
      <w:pPr>
        <w:spacing w:after="112" w:line="247" w:lineRule="auto"/>
        <w:ind w:left="355" w:right="62" w:hanging="10"/>
        <w:jc w:val="both"/>
      </w:pPr>
      <w:r>
        <w:rPr>
          <w:rFonts w:ascii="Arial" w:eastAsia="Arial" w:hAnsi="Arial" w:cs="Arial"/>
          <w:i/>
        </w:rPr>
        <w:t xml:space="preserve"> La labor de ejecución en estos casos se reduce a una actuación formal de toma de conocimiento de la sentencia por parte del órgano competente, sin que se requiera de la realización de ninguna otra actividad material de ejecución.</w:t>
      </w:r>
      <w:r>
        <w:rPr>
          <w:rFonts w:ascii="Arial" w:eastAsia="Arial" w:hAnsi="Arial" w:cs="Arial"/>
          <w:i/>
        </w:rPr>
        <w:t xml:space="preserve"> </w:t>
      </w:r>
    </w:p>
    <w:p w:rsidR="00FA7413" w:rsidRDefault="00D712A8">
      <w:pPr>
        <w:spacing w:after="112" w:line="247" w:lineRule="auto"/>
        <w:ind w:left="355" w:right="62" w:hanging="10"/>
        <w:jc w:val="both"/>
      </w:pPr>
      <w:r>
        <w:rPr>
          <w:rFonts w:ascii="Arial" w:eastAsia="Arial" w:hAnsi="Arial" w:cs="Arial"/>
          <w:i/>
        </w:rPr>
        <w:t xml:space="preserve"> Dicha actuación ha sido llevada a cabo en la forma expuesta en el</w:t>
      </w:r>
      <w:r>
        <w:rPr>
          <w:rFonts w:ascii="Arial" w:eastAsia="Arial" w:hAnsi="Arial" w:cs="Arial"/>
        </w:rPr>
        <w:t xml:space="preserve"> </w:t>
      </w:r>
      <w:r>
        <w:rPr>
          <w:rFonts w:ascii="Arial" w:eastAsia="Arial" w:hAnsi="Arial" w:cs="Arial"/>
          <w:i/>
        </w:rPr>
        <w:t>apartado anterior, por lo que la ejecución de estas sentencias ha de darse por concluida desde el mismo momento en que la Comisión de Ordenación del</w:t>
      </w:r>
      <w:r>
        <w:rPr>
          <w:rFonts w:ascii="Arial" w:eastAsia="Arial" w:hAnsi="Arial" w:cs="Arial"/>
          <w:b/>
          <w:i/>
        </w:rPr>
        <w:t xml:space="preserve"> </w:t>
      </w:r>
      <w:r>
        <w:rPr>
          <w:rFonts w:ascii="Arial" w:eastAsia="Arial" w:hAnsi="Arial" w:cs="Arial"/>
          <w:i/>
        </w:rPr>
        <w:t>Territorio y Medio Ambiente de Canaria</w:t>
      </w:r>
      <w:r>
        <w:rPr>
          <w:rFonts w:ascii="Arial" w:eastAsia="Arial" w:hAnsi="Arial" w:cs="Arial"/>
          <w:i/>
        </w:rPr>
        <w:t>s tomó conocimiento de ellas y lo comunicó al Ayuntamiento”.</w:t>
      </w:r>
      <w:r>
        <w:rPr>
          <w:rFonts w:ascii="Arial" w:eastAsia="Arial" w:hAnsi="Arial" w:cs="Arial"/>
        </w:rPr>
        <w:t xml:space="preserve"> </w:t>
      </w:r>
    </w:p>
    <w:p w:rsidR="00FA7413" w:rsidRDefault="00D712A8">
      <w:pPr>
        <w:spacing w:after="100"/>
        <w:ind w:left="360"/>
      </w:pPr>
      <w:r>
        <w:rPr>
          <w:rFonts w:ascii="Arial" w:eastAsia="Arial" w:hAnsi="Arial" w:cs="Arial"/>
          <w:i/>
        </w:rPr>
        <w:t xml:space="preserve"> </w:t>
      </w:r>
    </w:p>
    <w:p w:rsidR="00FA7413" w:rsidRDefault="00D712A8">
      <w:pPr>
        <w:spacing w:after="95"/>
        <w:ind w:left="360"/>
      </w:pPr>
      <w:r>
        <w:rPr>
          <w:rFonts w:ascii="Arial" w:eastAsia="Arial" w:hAnsi="Arial" w:cs="Arial"/>
          <w:i/>
        </w:rPr>
        <w:t xml:space="preserve"> </w:t>
      </w:r>
    </w:p>
    <w:p w:rsidR="00FA7413" w:rsidRDefault="00D712A8">
      <w:pPr>
        <w:spacing w:after="112" w:line="248" w:lineRule="auto"/>
        <w:ind w:left="3208" w:right="62" w:hanging="10"/>
        <w:jc w:val="both"/>
      </w:pPr>
      <w:r>
        <w:rPr>
          <w:rFonts w:ascii="Arial" w:eastAsia="Arial" w:hAnsi="Arial" w:cs="Arial"/>
          <w:b/>
        </w:rPr>
        <w:t xml:space="preserve">Fundamentos de derecho   </w:t>
      </w:r>
    </w:p>
    <w:p w:rsidR="00FA7413" w:rsidRDefault="00D712A8">
      <w:pPr>
        <w:spacing w:after="112" w:line="248" w:lineRule="auto"/>
        <w:ind w:left="355" w:right="62" w:hanging="10"/>
        <w:jc w:val="both"/>
      </w:pPr>
      <w:r>
        <w:rPr>
          <w:rFonts w:ascii="Arial" w:eastAsia="Arial" w:hAnsi="Arial" w:cs="Arial"/>
          <w:b/>
        </w:rPr>
        <w:t xml:space="preserve"> Primero. - Es de aplicación lo dispuesto en el artículo 118 de la constitución que establece: </w:t>
      </w:r>
    </w:p>
    <w:p w:rsidR="00FA7413" w:rsidRDefault="00D712A8">
      <w:pPr>
        <w:spacing w:after="112" w:line="247" w:lineRule="auto"/>
        <w:ind w:left="345" w:right="62" w:firstLine="708"/>
        <w:jc w:val="both"/>
      </w:pPr>
      <w:r>
        <w:rPr>
          <w:rFonts w:ascii="Arial" w:eastAsia="Arial" w:hAnsi="Arial" w:cs="Arial"/>
          <w:i/>
        </w:rPr>
        <w:t>Es obligado cumplir las sentencias y demás resoluciones firmes de los Jueces y Tribunales, así como prestar la colaboración requerida por éstos en el curso del proceso y en la ejecución de lo resuelto</w:t>
      </w:r>
      <w:r>
        <w:rPr>
          <w:rFonts w:ascii="Arial" w:eastAsia="Arial" w:hAnsi="Arial" w:cs="Arial"/>
        </w:rPr>
        <w:t xml:space="preserve">. </w:t>
      </w:r>
    </w:p>
    <w:p w:rsidR="00FA7413" w:rsidRDefault="00D712A8">
      <w:pPr>
        <w:spacing w:after="112" w:line="248" w:lineRule="auto"/>
        <w:ind w:left="345" w:right="62" w:firstLine="708"/>
        <w:jc w:val="both"/>
      </w:pPr>
      <w:r>
        <w:rPr>
          <w:rFonts w:ascii="Arial" w:eastAsia="Arial" w:hAnsi="Arial" w:cs="Arial"/>
          <w:b/>
        </w:rPr>
        <w:t>Segundo. - Es de aplicación lo dispuesto en el artícu</w:t>
      </w:r>
      <w:r>
        <w:rPr>
          <w:rFonts w:ascii="Arial" w:eastAsia="Arial" w:hAnsi="Arial" w:cs="Arial"/>
          <w:b/>
        </w:rPr>
        <w:t xml:space="preserve">lo 103.2 de la Ley 29/1998, de 13 de julio, de la Jurisdicción Contencioso-Administrativa que establece: </w:t>
      </w:r>
    </w:p>
    <w:p w:rsidR="00FA7413" w:rsidRDefault="00D712A8">
      <w:pPr>
        <w:spacing w:after="112" w:line="247" w:lineRule="auto"/>
        <w:ind w:left="345" w:right="62" w:firstLine="708"/>
        <w:jc w:val="both"/>
      </w:pPr>
      <w:r>
        <w:rPr>
          <w:rFonts w:ascii="Arial" w:eastAsia="Arial" w:hAnsi="Arial" w:cs="Arial"/>
          <w:i/>
        </w:rPr>
        <w:t>2. Las partes están obligadas a cumplir las sentencias en la forma y términos que en éstas se consignen</w:t>
      </w:r>
      <w:r>
        <w:rPr>
          <w:rFonts w:ascii="Arial" w:eastAsia="Arial" w:hAnsi="Arial" w:cs="Arial"/>
        </w:rPr>
        <w:t xml:space="preserve"> </w:t>
      </w:r>
    </w:p>
    <w:p w:rsidR="00FA7413" w:rsidRDefault="00D712A8">
      <w:pPr>
        <w:spacing w:after="100"/>
        <w:ind w:left="1068"/>
      </w:pPr>
      <w:r>
        <w:rPr>
          <w:rFonts w:ascii="Arial" w:eastAsia="Arial" w:hAnsi="Arial" w:cs="Arial"/>
          <w:b/>
        </w:rPr>
        <w:t xml:space="preserve"> </w:t>
      </w:r>
    </w:p>
    <w:p w:rsidR="00FA7413" w:rsidRDefault="00D712A8">
      <w:pPr>
        <w:spacing w:after="112" w:line="248" w:lineRule="auto"/>
        <w:ind w:left="2497" w:right="62" w:hanging="10"/>
        <w:jc w:val="both"/>
      </w:pPr>
      <w:r>
        <w:rPr>
          <w:rFonts w:ascii="Arial" w:eastAsia="Arial" w:hAnsi="Arial" w:cs="Arial"/>
          <w:b/>
        </w:rPr>
        <w:t xml:space="preserve">         PROPUESTA DE RESOLUCIÓN  </w:t>
      </w:r>
    </w:p>
    <w:p w:rsidR="00FA7413" w:rsidRDefault="00D712A8">
      <w:pPr>
        <w:spacing w:after="112" w:line="248" w:lineRule="auto"/>
        <w:ind w:left="1078" w:right="62" w:hanging="10"/>
        <w:jc w:val="both"/>
      </w:pPr>
      <w:r>
        <w:rPr>
          <w:rFonts w:ascii="Arial" w:eastAsia="Arial" w:hAnsi="Arial" w:cs="Arial"/>
          <w:b/>
        </w:rPr>
        <w:t>Por lo e</w:t>
      </w:r>
      <w:r>
        <w:rPr>
          <w:rFonts w:ascii="Arial" w:eastAsia="Arial" w:hAnsi="Arial" w:cs="Arial"/>
          <w:b/>
        </w:rPr>
        <w:t xml:space="preserve">xpuesto se eleva la siguiente propuesta al Pleno: </w:t>
      </w:r>
    </w:p>
    <w:p w:rsidR="00FA7413" w:rsidRDefault="00D712A8">
      <w:pPr>
        <w:spacing w:after="103"/>
        <w:ind w:left="360"/>
      </w:pPr>
      <w:r>
        <w:rPr>
          <w:rFonts w:ascii="Arial" w:eastAsia="Arial" w:hAnsi="Arial" w:cs="Arial"/>
          <w:b/>
        </w:rPr>
        <w:t xml:space="preserve"> </w:t>
      </w:r>
    </w:p>
    <w:p w:rsidR="00FA7413" w:rsidRDefault="00D712A8">
      <w:pPr>
        <w:spacing w:after="142" w:line="248" w:lineRule="auto"/>
        <w:ind w:left="345" w:right="64" w:firstLine="708"/>
        <w:jc w:val="both"/>
      </w:pPr>
      <w:r>
        <w:rPr>
          <w:noProof/>
        </w:rPr>
        <mc:AlternateContent>
          <mc:Choice Requires="wpg">
            <w:drawing>
              <wp:anchor distT="0" distB="0" distL="114300" distR="114300" simplePos="0" relativeHeight="251689984"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01637" name="Group 201637"/>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4897" name="Rectangle 4897"/>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4898" name="Rectangle 4898"/>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30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1637" style="width:12.7031pt;height:275.586pt;position:absolute;mso-position-horizontal-relative:page;mso-position-horizontal:absolute;margin-left:682.278pt;mso-position-vertical-relative:page;margin-top:536.334pt;" coordsize="1613,34999">
                <v:rect id="Rectangle 4897"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4898"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 de 180 </w:t>
                        </w:r>
                      </w:p>
                    </w:txbxContent>
                  </v:textbox>
                </v:rect>
                <w10:wrap type="square"/>
              </v:group>
            </w:pict>
          </mc:Fallback>
        </mc:AlternateContent>
      </w:r>
      <w:r>
        <w:rPr>
          <w:rFonts w:ascii="Arial" w:eastAsia="Arial" w:hAnsi="Arial" w:cs="Arial"/>
        </w:rPr>
        <w:t>Primero. - Tomar conocimiento de la Sentencia de 6 de marzo de 2009 (Procedimiento ordinario 112/2007) de la Sala de lo Contencioso-Administrativo del Tribunal Superior de Justicia de Canarias (Sección Segunda. Santa Cruz de Tenerife) por la que se desesti</w:t>
      </w:r>
      <w:r>
        <w:rPr>
          <w:rFonts w:ascii="Arial" w:eastAsia="Arial" w:hAnsi="Arial" w:cs="Arial"/>
        </w:rPr>
        <w:t>ma el recurso interpuesto por Don José Higuera Leal contra el acuerdo de la Comisión de Ordenación del Territorio y Medio Ambiente de Canarias (COTMAC) del Gobierno de Canarias de 20 de julio de 2006 y de corrección de errores de 10 de noviembre de 2006 po</w:t>
      </w:r>
      <w:r>
        <w:rPr>
          <w:rFonts w:ascii="Arial" w:eastAsia="Arial" w:hAnsi="Arial" w:cs="Arial"/>
        </w:rPr>
        <w:t xml:space="preserve">r el que se aprobó definitivamente el Plan General de Ordenación Urbana del municipio de Candelaria (BOC de 8 de mayo y 10 de mayo de 2007). </w:t>
      </w:r>
    </w:p>
    <w:p w:rsidR="00FA7413" w:rsidRDefault="00D712A8">
      <w:pPr>
        <w:spacing w:after="109" w:line="248" w:lineRule="auto"/>
        <w:ind w:left="1078" w:right="64" w:hanging="10"/>
        <w:jc w:val="both"/>
      </w:pPr>
      <w:r>
        <w:rPr>
          <w:rFonts w:ascii="Arial" w:eastAsia="Arial" w:hAnsi="Arial" w:cs="Arial"/>
        </w:rPr>
        <w:t xml:space="preserve">Segundo. - Notificar al presente acuerdo al interesado.” </w:t>
      </w:r>
    </w:p>
    <w:p w:rsidR="00FA7413" w:rsidRDefault="00D712A8">
      <w:pPr>
        <w:spacing w:after="101"/>
        <w:ind w:left="360"/>
      </w:pP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Consta en el expediente propuesta de la Alcaldesa-Pres</w:t>
      </w:r>
      <w:r>
        <w:rPr>
          <w:rFonts w:ascii="Arial" w:eastAsia="Arial" w:hAnsi="Arial" w:cs="Arial"/>
          <w:b/>
        </w:rPr>
        <w:t xml:space="preserve">identa, de fecha 15 de junio de 2021, cuyo tenor literal es el siguiente: </w:t>
      </w:r>
    </w:p>
    <w:p w:rsidR="00FA7413" w:rsidRDefault="00D712A8">
      <w:pPr>
        <w:spacing w:after="98"/>
        <w:ind w:left="360"/>
      </w:pPr>
      <w:r>
        <w:rPr>
          <w:rFonts w:ascii="Arial" w:eastAsia="Arial" w:hAnsi="Arial" w:cs="Arial"/>
          <w:b/>
        </w:rPr>
        <w:t xml:space="preserve"> </w:t>
      </w:r>
    </w:p>
    <w:p w:rsidR="00FA7413" w:rsidRDefault="00D712A8">
      <w:pPr>
        <w:spacing w:after="124"/>
        <w:ind w:left="360"/>
      </w:pPr>
      <w:r>
        <w:rPr>
          <w:rFonts w:ascii="Arial" w:eastAsia="Arial" w:hAnsi="Arial" w:cs="Arial"/>
          <w:b/>
        </w:rPr>
        <w:t xml:space="preserve"> </w:t>
      </w:r>
    </w:p>
    <w:p w:rsidR="00FA7413" w:rsidRDefault="00D712A8">
      <w:pPr>
        <w:spacing w:after="112" w:line="248" w:lineRule="auto"/>
        <w:ind w:left="1789" w:right="62" w:hanging="10"/>
        <w:jc w:val="both"/>
      </w:pPr>
      <w:r>
        <w:rPr>
          <w:rFonts w:ascii="Arial" w:eastAsia="Arial" w:hAnsi="Arial" w:cs="Arial"/>
          <w:b/>
        </w:rPr>
        <w:t xml:space="preserve">“PROPUESTA DE LA ALCALDÍA-PRESIDENCIA  </w:t>
      </w:r>
    </w:p>
    <w:p w:rsidR="00FA7413" w:rsidRDefault="00D712A8">
      <w:pPr>
        <w:spacing w:after="149" w:line="248" w:lineRule="auto"/>
        <w:ind w:left="355" w:right="62" w:hanging="10"/>
        <w:jc w:val="both"/>
      </w:pPr>
      <w:r>
        <w:rPr>
          <w:rFonts w:ascii="Arial" w:eastAsia="Arial" w:hAnsi="Arial" w:cs="Arial"/>
          <w:b/>
        </w:rPr>
        <w:t xml:space="preserve">Visto el informe jurídico del Secretario General de fecha 14 de junio de 2021:                   </w:t>
      </w:r>
      <w:r>
        <w:rPr>
          <w:rFonts w:ascii="Arial" w:eastAsia="Arial" w:hAnsi="Arial" w:cs="Arial"/>
        </w:rPr>
        <w:t xml:space="preserve"> </w:t>
      </w:r>
    </w:p>
    <w:p w:rsidR="00FA7413" w:rsidRDefault="00D712A8">
      <w:pPr>
        <w:spacing w:after="112" w:line="247" w:lineRule="auto"/>
        <w:ind w:left="1078" w:right="62" w:hanging="10"/>
        <w:jc w:val="both"/>
      </w:pPr>
      <w:r>
        <w:rPr>
          <w:rFonts w:ascii="Arial" w:eastAsia="Arial" w:hAnsi="Arial" w:cs="Arial"/>
          <w:i/>
        </w:rPr>
        <w:t xml:space="preserve">“Visto el expediente antedicho, se emite el siguiente informe jurídico:  </w:t>
      </w:r>
    </w:p>
    <w:p w:rsidR="00FA7413" w:rsidRDefault="00D712A8">
      <w:pPr>
        <w:spacing w:after="112" w:line="247" w:lineRule="auto"/>
        <w:ind w:left="3208" w:right="62" w:hanging="10"/>
        <w:jc w:val="both"/>
      </w:pPr>
      <w:r>
        <w:rPr>
          <w:rFonts w:ascii="Arial" w:eastAsia="Arial" w:hAnsi="Arial" w:cs="Arial"/>
          <w:i/>
        </w:rPr>
        <w:t xml:space="preserve">Antecedentes de hecho   </w:t>
      </w:r>
    </w:p>
    <w:p w:rsidR="00FA7413" w:rsidRDefault="00D712A8">
      <w:pPr>
        <w:spacing w:after="112" w:line="247" w:lineRule="auto"/>
        <w:ind w:left="345" w:right="62" w:firstLine="708"/>
        <w:jc w:val="both"/>
      </w:pPr>
      <w:r>
        <w:rPr>
          <w:rFonts w:ascii="Arial" w:eastAsia="Arial" w:hAnsi="Arial" w:cs="Arial"/>
          <w:i/>
        </w:rPr>
        <w:t>Primero. - Por Acuerdo de la Comisión de Ordenación del Territorio y Medio Ambiente de Canarias (COTMAC) del Gobierno de Canarias de 20 de julio de 2006 y de</w:t>
      </w:r>
      <w:r>
        <w:rPr>
          <w:rFonts w:ascii="Arial" w:eastAsia="Arial" w:hAnsi="Arial" w:cs="Arial"/>
          <w:i/>
        </w:rPr>
        <w:t xml:space="preserve"> corrección de errores de 10 de noviembre de 2006 se aprobó definitivamente el Plan General de Ordenación Urbana del municipio de Candelaria (BOC de 8 de mayo y 10 de mayo de 2007) (BOP 17 de mayo de 2007) Segundo. - Que se interpuso recurso contencioso-ad</w:t>
      </w:r>
      <w:r>
        <w:rPr>
          <w:rFonts w:ascii="Arial" w:eastAsia="Arial" w:hAnsi="Arial" w:cs="Arial"/>
          <w:i/>
        </w:rPr>
        <w:t xml:space="preserve">ministrativo contra el acuerdo mencionado en el punto primero por Don José Higuera Leal. </w:t>
      </w:r>
    </w:p>
    <w:p w:rsidR="00FA7413" w:rsidRDefault="00D712A8">
      <w:pPr>
        <w:spacing w:after="112" w:line="247" w:lineRule="auto"/>
        <w:ind w:left="355" w:right="62" w:hanging="10"/>
        <w:jc w:val="both"/>
      </w:pPr>
      <w:r>
        <w:rPr>
          <w:rFonts w:ascii="Arial" w:eastAsia="Arial" w:hAnsi="Arial" w:cs="Arial"/>
          <w:i/>
        </w:rPr>
        <w:t xml:space="preserve"> Tercero. - Que consta en el expediente sentencia que ha remitido Servicios Generales a la Secretaría General con fecha 26 de febrero de 2020: </w:t>
      </w:r>
    </w:p>
    <w:p w:rsidR="00FA7413" w:rsidRDefault="00D712A8">
      <w:pPr>
        <w:spacing w:after="118" w:line="241" w:lineRule="auto"/>
        <w:ind w:left="345"/>
      </w:pPr>
      <w:r>
        <w:rPr>
          <w:rFonts w:ascii="Arial" w:eastAsia="Arial" w:hAnsi="Arial" w:cs="Arial"/>
          <w:i/>
        </w:rPr>
        <w:t>Sentencia de 6 de marz</w:t>
      </w:r>
      <w:r>
        <w:rPr>
          <w:rFonts w:ascii="Arial" w:eastAsia="Arial" w:hAnsi="Arial" w:cs="Arial"/>
          <w:i/>
        </w:rPr>
        <w:t xml:space="preserve">o de 2009. Procedimiento ordinario 112/2007. Sala de lo ContenciosoAdministrativo del Tribunal Superior de Justicia de Canarias. Sección Segunda. Santa Cruz de Tenerife. </w:t>
      </w:r>
    </w:p>
    <w:p w:rsidR="00FA7413" w:rsidRDefault="00D712A8">
      <w:pPr>
        <w:spacing w:after="146" w:line="247" w:lineRule="auto"/>
        <w:ind w:left="355" w:right="62" w:hanging="10"/>
        <w:jc w:val="both"/>
      </w:pPr>
      <w:r>
        <w:rPr>
          <w:rFonts w:ascii="Arial" w:eastAsia="Arial" w:hAnsi="Arial" w:cs="Arial"/>
          <w:i/>
        </w:rPr>
        <w:t>Fallo: Desestimamos el recurso contencioso-administrativo núm. 112/2007, sin imposici</w:t>
      </w:r>
      <w:r>
        <w:rPr>
          <w:rFonts w:ascii="Arial" w:eastAsia="Arial" w:hAnsi="Arial" w:cs="Arial"/>
          <w:i/>
        </w:rPr>
        <w:t xml:space="preserve">ón de costas. </w:t>
      </w:r>
    </w:p>
    <w:p w:rsidR="00FA7413" w:rsidRDefault="00D712A8">
      <w:pPr>
        <w:spacing w:after="153" w:line="247" w:lineRule="auto"/>
        <w:ind w:left="345" w:right="62" w:firstLine="708"/>
        <w:jc w:val="both"/>
      </w:pPr>
      <w:r>
        <w:rPr>
          <w:rFonts w:ascii="Arial" w:eastAsia="Arial" w:hAnsi="Arial" w:cs="Arial"/>
          <w:i/>
        </w:rPr>
        <w:t xml:space="preserve">Cuarto. - “Que con fecha 7 de junio de 2021 ha tenido entrada en el Ayuntamiento de Candelaria, el oficio del Gobierno de Canarias que en relación al presente expediente dice: </w:t>
      </w:r>
    </w:p>
    <w:p w:rsidR="00FA7413" w:rsidRDefault="00D712A8">
      <w:pPr>
        <w:spacing w:after="112" w:line="247" w:lineRule="auto"/>
        <w:ind w:left="355" w:right="62" w:hanging="10"/>
        <w:jc w:val="both"/>
      </w:pPr>
      <w:r>
        <w:rPr>
          <w:rFonts w:ascii="Arial" w:eastAsia="Arial" w:hAnsi="Arial" w:cs="Arial"/>
          <w:i/>
        </w:rPr>
        <w:t xml:space="preserve"> “En los casos de las sentencias de los expedientes número 2252/</w:t>
      </w:r>
      <w:r>
        <w:rPr>
          <w:rFonts w:ascii="Arial" w:eastAsia="Arial" w:hAnsi="Arial" w:cs="Arial"/>
          <w:i/>
        </w:rPr>
        <w:t>2020, 2280/2020, 2257/2020, 2254/2020, 2284/2020 y 2282/2020 dado que se refieren a procedimientos en los que los recursos interpuestos han sido desestimados por considerarse que el acto recurrido es ajustado a derecho, no se requiere de actuación alguna t</w:t>
      </w:r>
      <w:r>
        <w:rPr>
          <w:rFonts w:ascii="Arial" w:eastAsia="Arial" w:hAnsi="Arial" w:cs="Arial"/>
          <w:i/>
        </w:rPr>
        <w:t xml:space="preserve">endente a la ejecución de su fallo. </w:t>
      </w:r>
    </w:p>
    <w:p w:rsidR="00FA7413" w:rsidRDefault="00D712A8">
      <w:pPr>
        <w:spacing w:after="112" w:line="247" w:lineRule="auto"/>
        <w:ind w:left="355" w:right="62" w:hanging="10"/>
        <w:jc w:val="both"/>
      </w:pPr>
      <w:r>
        <w:rPr>
          <w:rFonts w:ascii="Arial" w:eastAsia="Arial" w:hAnsi="Arial" w:cs="Arial"/>
          <w:i/>
        </w:rPr>
        <w:t xml:space="preserve"> La labor de ejecución en estos casos se reduce a una actuación formal de toma de conocimiento de la sentencia por parte del órgano competente, sin que se requiera de la realización de ninguna otra actividad material de</w:t>
      </w:r>
      <w:r>
        <w:rPr>
          <w:rFonts w:ascii="Arial" w:eastAsia="Arial" w:hAnsi="Arial" w:cs="Arial"/>
          <w:i/>
        </w:rPr>
        <w:t xml:space="preserve"> ejecución. </w:t>
      </w:r>
    </w:p>
    <w:p w:rsidR="00FA7413" w:rsidRDefault="00D712A8">
      <w:pPr>
        <w:spacing w:after="112" w:line="247" w:lineRule="auto"/>
        <w:ind w:left="355" w:right="62" w:hanging="10"/>
        <w:jc w:val="both"/>
      </w:pPr>
      <w:r>
        <w:rPr>
          <w:noProof/>
        </w:rPr>
        <mc:AlternateContent>
          <mc:Choice Requires="wpg">
            <w:drawing>
              <wp:anchor distT="0" distB="0" distL="114300" distR="114300" simplePos="0" relativeHeight="251691008"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01949" name="Group 201949"/>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5026" name="Rectangle 5026"/>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5027" name="Rectangle 5027"/>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31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1949" style="width:12.7031pt;height:275.586pt;position:absolute;mso-position-horizontal-relative:page;mso-position-horizontal:absolute;margin-left:682.278pt;mso-position-vertical-relative:page;margin-top:536.334pt;" coordsize="1613,34999">
                <v:rect id="Rectangle 5026"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5027"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 de 180 </w:t>
                        </w:r>
                      </w:p>
                    </w:txbxContent>
                  </v:textbox>
                </v:rect>
                <w10:wrap type="square"/>
              </v:group>
            </w:pict>
          </mc:Fallback>
        </mc:AlternateContent>
      </w:r>
      <w:r>
        <w:rPr>
          <w:rFonts w:ascii="Arial" w:eastAsia="Arial" w:hAnsi="Arial" w:cs="Arial"/>
          <w:i/>
        </w:rPr>
        <w:t xml:space="preserve"> </w:t>
      </w:r>
      <w:r>
        <w:rPr>
          <w:rFonts w:ascii="Arial" w:eastAsia="Arial" w:hAnsi="Arial" w:cs="Arial"/>
          <w:i/>
        </w:rPr>
        <w:t>Dicha actuación ha sido llevada a cabo en la forma expuesta en el apartado anterior, por lo que la ejecución de estas sentencias ha de darse por concluida desde el mismo momento en que la Comisión de Ordenación del Territorio y Medio Ambiente de Canarias t</w:t>
      </w:r>
      <w:r>
        <w:rPr>
          <w:rFonts w:ascii="Arial" w:eastAsia="Arial" w:hAnsi="Arial" w:cs="Arial"/>
          <w:i/>
        </w:rPr>
        <w:t xml:space="preserve">omó conocimiento de ellas y lo comunicó al Ayuntamiento”. </w:t>
      </w:r>
    </w:p>
    <w:p w:rsidR="00FA7413" w:rsidRDefault="00D712A8">
      <w:pPr>
        <w:spacing w:after="100"/>
        <w:ind w:left="360"/>
      </w:pPr>
      <w:r>
        <w:rPr>
          <w:rFonts w:ascii="Arial" w:eastAsia="Arial" w:hAnsi="Arial" w:cs="Arial"/>
          <w:i/>
        </w:rPr>
        <w:t xml:space="preserve"> </w:t>
      </w:r>
    </w:p>
    <w:p w:rsidR="00FA7413" w:rsidRDefault="00D712A8">
      <w:pPr>
        <w:spacing w:after="98"/>
        <w:ind w:left="360"/>
      </w:pPr>
      <w:r>
        <w:rPr>
          <w:rFonts w:ascii="Arial" w:eastAsia="Arial" w:hAnsi="Arial" w:cs="Arial"/>
          <w:i/>
        </w:rPr>
        <w:t xml:space="preserve"> </w:t>
      </w:r>
    </w:p>
    <w:p w:rsidR="00FA7413" w:rsidRDefault="00D712A8">
      <w:pPr>
        <w:spacing w:after="112" w:line="247" w:lineRule="auto"/>
        <w:ind w:left="3208" w:right="62" w:hanging="10"/>
        <w:jc w:val="both"/>
      </w:pPr>
      <w:r>
        <w:rPr>
          <w:rFonts w:ascii="Arial" w:eastAsia="Arial" w:hAnsi="Arial" w:cs="Arial"/>
          <w:i/>
        </w:rPr>
        <w:t xml:space="preserve">Fundamentos de derecho   </w:t>
      </w:r>
    </w:p>
    <w:p w:rsidR="00FA7413" w:rsidRDefault="00D712A8">
      <w:pPr>
        <w:tabs>
          <w:tab w:val="center" w:pos="360"/>
          <w:tab w:val="right" w:pos="9999"/>
        </w:tabs>
        <w:spacing w:after="112" w:line="247" w:lineRule="auto"/>
      </w:pPr>
      <w:r>
        <w:tab/>
      </w:r>
      <w:r>
        <w:rPr>
          <w:rFonts w:ascii="Arial" w:eastAsia="Arial" w:hAnsi="Arial" w:cs="Arial"/>
          <w:i/>
        </w:rPr>
        <w:t xml:space="preserve"> </w:t>
      </w:r>
      <w:r>
        <w:rPr>
          <w:rFonts w:ascii="Arial" w:eastAsia="Arial" w:hAnsi="Arial" w:cs="Arial"/>
          <w:i/>
        </w:rPr>
        <w:tab/>
        <w:t xml:space="preserve">Primero. - Es de aplicación lo dispuesto en el artículo 118 de la constitución que establece: </w:t>
      </w:r>
    </w:p>
    <w:p w:rsidR="00FA7413" w:rsidRDefault="00D712A8">
      <w:pPr>
        <w:spacing w:after="112" w:line="247" w:lineRule="auto"/>
        <w:ind w:left="345" w:right="62" w:firstLine="708"/>
        <w:jc w:val="both"/>
      </w:pPr>
      <w:r>
        <w:rPr>
          <w:rFonts w:ascii="Arial" w:eastAsia="Arial" w:hAnsi="Arial" w:cs="Arial"/>
          <w:i/>
        </w:rPr>
        <w:t>Es obligado cumplir las sentencias y demás resoluciones firmes de los</w:t>
      </w:r>
      <w:r>
        <w:rPr>
          <w:rFonts w:ascii="Arial" w:eastAsia="Arial" w:hAnsi="Arial" w:cs="Arial"/>
          <w:i/>
        </w:rPr>
        <w:t xml:space="preserve"> Jueces y Tribunales, así como prestar la colaboración requerida por éstos en el curso del proceso y en la ejecución de lo resuelto.</w:t>
      </w:r>
      <w:r>
        <w:rPr>
          <w:rFonts w:ascii="Arial" w:eastAsia="Arial" w:hAnsi="Arial" w:cs="Arial"/>
        </w:rPr>
        <w:t xml:space="preserve"> </w:t>
      </w:r>
    </w:p>
    <w:p w:rsidR="00FA7413" w:rsidRDefault="00D712A8">
      <w:pPr>
        <w:spacing w:after="112" w:line="247" w:lineRule="auto"/>
        <w:ind w:left="345" w:right="62" w:firstLine="708"/>
        <w:jc w:val="both"/>
      </w:pPr>
      <w:r>
        <w:rPr>
          <w:rFonts w:ascii="Arial" w:eastAsia="Arial" w:hAnsi="Arial" w:cs="Arial"/>
          <w:i/>
        </w:rPr>
        <w:t>Segundo. - Es de aplicación lo dispuesto en el artículo 103.2 de la Ley 29/1998, de 13 de julio, de la Jurisdicción Conten</w:t>
      </w:r>
      <w:r>
        <w:rPr>
          <w:rFonts w:ascii="Arial" w:eastAsia="Arial" w:hAnsi="Arial" w:cs="Arial"/>
          <w:i/>
        </w:rPr>
        <w:t xml:space="preserve">cioso-Administrativa que establece: </w:t>
      </w:r>
    </w:p>
    <w:p w:rsidR="00FA7413" w:rsidRDefault="00D712A8">
      <w:pPr>
        <w:spacing w:after="112" w:line="247" w:lineRule="auto"/>
        <w:ind w:left="345" w:right="62" w:firstLine="708"/>
        <w:jc w:val="both"/>
      </w:pPr>
      <w:r>
        <w:rPr>
          <w:rFonts w:ascii="Arial" w:eastAsia="Arial" w:hAnsi="Arial" w:cs="Arial"/>
          <w:i/>
        </w:rPr>
        <w:t>2. Las partes están obligadas a cumplir las sentencias en la forma y términos que en éstas se consignen</w:t>
      </w:r>
      <w:r>
        <w:rPr>
          <w:rFonts w:ascii="Arial" w:eastAsia="Arial" w:hAnsi="Arial" w:cs="Arial"/>
        </w:rPr>
        <w:t xml:space="preserve"> </w:t>
      </w:r>
    </w:p>
    <w:p w:rsidR="00FA7413" w:rsidRDefault="00D712A8">
      <w:pPr>
        <w:spacing w:after="98"/>
        <w:ind w:left="1068"/>
      </w:pPr>
      <w:r>
        <w:rPr>
          <w:rFonts w:ascii="Arial" w:eastAsia="Arial" w:hAnsi="Arial" w:cs="Arial"/>
          <w:i/>
        </w:rPr>
        <w:t xml:space="preserve"> </w:t>
      </w:r>
    </w:p>
    <w:p w:rsidR="00FA7413" w:rsidRDefault="00D712A8">
      <w:pPr>
        <w:spacing w:after="112" w:line="247" w:lineRule="auto"/>
        <w:ind w:left="2497" w:right="62" w:hanging="10"/>
        <w:jc w:val="both"/>
      </w:pPr>
      <w:r>
        <w:rPr>
          <w:rFonts w:ascii="Arial" w:eastAsia="Arial" w:hAnsi="Arial" w:cs="Arial"/>
          <w:i/>
        </w:rPr>
        <w:t xml:space="preserve">      PROPUESTA DE RESOLUCIÓN  </w:t>
      </w:r>
    </w:p>
    <w:p w:rsidR="00FA7413" w:rsidRDefault="00D712A8">
      <w:pPr>
        <w:spacing w:after="112" w:line="247" w:lineRule="auto"/>
        <w:ind w:left="1078" w:right="62" w:hanging="10"/>
        <w:jc w:val="both"/>
      </w:pPr>
      <w:r>
        <w:rPr>
          <w:rFonts w:ascii="Arial" w:eastAsia="Arial" w:hAnsi="Arial" w:cs="Arial"/>
          <w:i/>
        </w:rPr>
        <w:t xml:space="preserve">  Por lo expuesto se eleva la siguiente propuesta al Pleno: </w:t>
      </w:r>
    </w:p>
    <w:p w:rsidR="00FA7413" w:rsidRDefault="00D712A8">
      <w:pPr>
        <w:spacing w:after="98"/>
        <w:ind w:left="360"/>
      </w:pPr>
      <w:r>
        <w:rPr>
          <w:rFonts w:ascii="Arial" w:eastAsia="Arial" w:hAnsi="Arial" w:cs="Arial"/>
          <w:i/>
        </w:rPr>
        <w:t xml:space="preserve"> </w:t>
      </w:r>
    </w:p>
    <w:p w:rsidR="00FA7413" w:rsidRDefault="00D712A8">
      <w:pPr>
        <w:spacing w:after="112" w:line="247" w:lineRule="auto"/>
        <w:ind w:left="345" w:right="62" w:firstLine="708"/>
        <w:jc w:val="both"/>
      </w:pPr>
      <w:r>
        <w:rPr>
          <w:rFonts w:ascii="Arial" w:eastAsia="Arial" w:hAnsi="Arial" w:cs="Arial"/>
          <w:i/>
        </w:rPr>
        <w:t xml:space="preserve">Primero. - </w:t>
      </w:r>
      <w:r>
        <w:rPr>
          <w:rFonts w:ascii="Arial" w:eastAsia="Arial" w:hAnsi="Arial" w:cs="Arial"/>
          <w:i/>
        </w:rPr>
        <w:t>Tomar conocimiento de la Sentencia de 6 de marzo de 2009 (Procedimiento ordinario 112/2007) de la Sala de lo Contencioso-Administrativo del Tribunal Superior de Justicia de Canarias (Sección Segunda. Santa Cruz de Tenerife) por la que se desestima el recur</w:t>
      </w:r>
      <w:r>
        <w:rPr>
          <w:rFonts w:ascii="Arial" w:eastAsia="Arial" w:hAnsi="Arial" w:cs="Arial"/>
          <w:i/>
        </w:rPr>
        <w:t>so interpuesto por Don José Higuera Leal contra el acuerdo de la Comisión de Ordenación del Territorio y Medio Ambiente de Canarias (COTMAC) del Gobierno de Canarias de 20 de julio de 2006 y de corrección de errores de 10 de noviembre de 2006 por el que se</w:t>
      </w:r>
      <w:r>
        <w:rPr>
          <w:rFonts w:ascii="Arial" w:eastAsia="Arial" w:hAnsi="Arial" w:cs="Arial"/>
          <w:i/>
        </w:rPr>
        <w:t xml:space="preserve"> aprobó definitivamente el Plan General de Ordenación Urbana del municipio de Candelaria (BOC de 8 de mayo y 10 de mayo de 2007). </w:t>
      </w:r>
    </w:p>
    <w:p w:rsidR="00FA7413" w:rsidRDefault="00D712A8">
      <w:pPr>
        <w:spacing w:after="112" w:line="247" w:lineRule="auto"/>
        <w:ind w:left="1078" w:right="62" w:hanging="10"/>
        <w:jc w:val="both"/>
      </w:pPr>
      <w:r>
        <w:rPr>
          <w:rFonts w:ascii="Arial" w:eastAsia="Arial" w:hAnsi="Arial" w:cs="Arial"/>
          <w:i/>
        </w:rPr>
        <w:t xml:space="preserve">Segundo. - Notificar al presente acuerdo al interesado”. </w:t>
      </w:r>
    </w:p>
    <w:p w:rsidR="00FA7413" w:rsidRDefault="00D712A8">
      <w:pPr>
        <w:spacing w:after="100"/>
        <w:ind w:left="360"/>
      </w:pPr>
      <w:r>
        <w:rPr>
          <w:rFonts w:ascii="Arial" w:eastAsia="Arial" w:hAnsi="Arial" w:cs="Arial"/>
          <w:b/>
        </w:rPr>
        <w:t xml:space="preserve"> </w:t>
      </w:r>
    </w:p>
    <w:p w:rsidR="00FA7413" w:rsidRDefault="00D712A8">
      <w:pPr>
        <w:spacing w:after="112" w:line="248" w:lineRule="auto"/>
        <w:ind w:left="355" w:right="62" w:hanging="10"/>
        <w:jc w:val="both"/>
      </w:pPr>
      <w:r>
        <w:rPr>
          <w:rFonts w:ascii="Arial" w:eastAsia="Arial" w:hAnsi="Arial" w:cs="Arial"/>
          <w:b/>
        </w:rPr>
        <w:t>Esta Alcaldía-</w:t>
      </w:r>
      <w:r>
        <w:rPr>
          <w:rFonts w:ascii="Arial" w:eastAsia="Arial" w:hAnsi="Arial" w:cs="Arial"/>
          <w:b/>
        </w:rPr>
        <w:t xml:space="preserve">Presidencia eleva la siguiente propuesta de acuerdo al Pleno: </w:t>
      </w:r>
    </w:p>
    <w:p w:rsidR="00FA7413" w:rsidRDefault="00D712A8">
      <w:pPr>
        <w:spacing w:after="100"/>
        <w:ind w:left="360"/>
      </w:pPr>
      <w:r>
        <w:rPr>
          <w:rFonts w:ascii="Arial" w:eastAsia="Arial" w:hAnsi="Arial" w:cs="Arial"/>
          <w:b/>
        </w:rPr>
        <w:t xml:space="preserve"> </w:t>
      </w:r>
    </w:p>
    <w:p w:rsidR="00FA7413" w:rsidRDefault="00D712A8">
      <w:pPr>
        <w:spacing w:after="142" w:line="248" w:lineRule="auto"/>
        <w:ind w:left="345" w:right="64" w:firstLine="708"/>
        <w:jc w:val="both"/>
      </w:pPr>
      <w:r>
        <w:rPr>
          <w:rFonts w:ascii="Arial" w:eastAsia="Arial" w:hAnsi="Arial" w:cs="Arial"/>
        </w:rPr>
        <w:t>Primero. - Tomar conocimiento de la Sentencia de 6 de marzo de 2009 (Procedimiento ordinario 112/2007) de la Sala de lo Contencioso-Administrativo del Tribunal Superior de Justicia de Canaria</w:t>
      </w:r>
      <w:r>
        <w:rPr>
          <w:rFonts w:ascii="Arial" w:eastAsia="Arial" w:hAnsi="Arial" w:cs="Arial"/>
        </w:rPr>
        <w:t>s (Sección Segunda. Santa Cruz de Tenerife) por la que se desestima el recurso interpuesto por Don José Higuera Leal contra el acuerdo de la Comisión de Ordenación del Territorio y Medio Ambiente de Canarias (COTMAC) del Gobierno de Canarias de 20 de julio</w:t>
      </w:r>
      <w:r>
        <w:rPr>
          <w:rFonts w:ascii="Arial" w:eastAsia="Arial" w:hAnsi="Arial" w:cs="Arial"/>
        </w:rPr>
        <w:t xml:space="preserve"> de 2006 y de corrección de errores de 10 de noviembre de 2006 por el que se aprobó definitivamente el Plan General de Ordenación Urbana del municipio de Candelaria (BOC de 8 de mayo y 10 de mayo de 2007). </w:t>
      </w:r>
    </w:p>
    <w:p w:rsidR="00FA7413" w:rsidRDefault="00D712A8">
      <w:pPr>
        <w:spacing w:after="109" w:line="248" w:lineRule="auto"/>
        <w:ind w:left="1078" w:right="64" w:hanging="10"/>
        <w:jc w:val="both"/>
      </w:pPr>
      <w:r>
        <w:rPr>
          <w:rFonts w:ascii="Arial" w:eastAsia="Arial" w:hAnsi="Arial" w:cs="Arial"/>
        </w:rPr>
        <w:t>Segundo. - Notificar al presente acuerdo al inter</w:t>
      </w:r>
      <w:r>
        <w:rPr>
          <w:rFonts w:ascii="Arial" w:eastAsia="Arial" w:hAnsi="Arial" w:cs="Arial"/>
        </w:rPr>
        <w:t xml:space="preserve">esado”. </w:t>
      </w:r>
    </w:p>
    <w:p w:rsidR="00FA7413" w:rsidRDefault="00D712A8">
      <w:pPr>
        <w:spacing w:after="95"/>
        <w:ind w:left="1068"/>
      </w:pPr>
      <w:r>
        <w:rPr>
          <w:rFonts w:ascii="Arial" w:eastAsia="Arial" w:hAnsi="Arial" w:cs="Arial"/>
        </w:rPr>
        <w:t xml:space="preserve"> </w:t>
      </w:r>
    </w:p>
    <w:p w:rsidR="00FA7413" w:rsidRDefault="00D712A8">
      <w:pPr>
        <w:spacing w:after="0"/>
        <w:ind w:left="360"/>
      </w:pPr>
      <w:r>
        <w:rPr>
          <w:noProof/>
        </w:rPr>
        <mc:AlternateContent>
          <mc:Choice Requires="wpg">
            <w:drawing>
              <wp:anchor distT="0" distB="0" distL="114300" distR="114300" simplePos="0" relativeHeight="251692032"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01955" name="Group 201955"/>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5137" name="Rectangle 5137"/>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5138" name="Rectangle 5138"/>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32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1955" style="width:12.7031pt;height:275.586pt;position:absolute;mso-position-horizontal-relative:page;mso-position-horizontal:absolute;margin-left:682.278pt;mso-position-vertical-relative:page;margin-top:536.334pt;" coordsize="1613,34999">
                <v:rect id="Rectangle 5137"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5138"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 de 180 </w:t>
                        </w:r>
                      </w:p>
                    </w:txbxContent>
                  </v:textbox>
                </v:rect>
                <w10:wrap type="square"/>
              </v:group>
            </w:pict>
          </mc:Fallback>
        </mc:AlternateContent>
      </w: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 xml:space="preserve">DICTAMEN FAVORABLE DE LA COMISIÓN INFORMATIVA DE P.G. URBANÍSTICA Y AMBIENTAL, OBRAS y SERVICIOS PÚBLICOS DE 21 DE JUNIO DE 2021.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Por el Secretario se procede a dar lectura del oficio de la Secretaría General de 31 de enero de 2020 a Servicios Genera</w:t>
      </w:r>
      <w:r>
        <w:rPr>
          <w:rFonts w:ascii="Arial" w:eastAsia="Arial" w:hAnsi="Arial" w:cs="Arial"/>
          <w:b/>
        </w:rPr>
        <w:t xml:space="preserve">les que da origen a la tramitación de estos expedientes que transcrito literalmente dice: </w:t>
      </w:r>
    </w:p>
    <w:p w:rsidR="00FA7413" w:rsidRDefault="00D712A8">
      <w:pPr>
        <w:spacing w:after="0"/>
        <w:ind w:left="360"/>
      </w:pPr>
      <w:r>
        <w:rPr>
          <w:rFonts w:ascii="Arial" w:eastAsia="Arial" w:hAnsi="Arial" w:cs="Arial"/>
          <w:i/>
        </w:rPr>
        <w:t xml:space="preserve"> </w:t>
      </w:r>
    </w:p>
    <w:p w:rsidR="00FA7413" w:rsidRDefault="00D712A8">
      <w:pPr>
        <w:spacing w:after="0" w:line="247" w:lineRule="auto"/>
        <w:ind w:left="355" w:right="62" w:hanging="10"/>
        <w:jc w:val="both"/>
      </w:pPr>
      <w:r>
        <w:rPr>
          <w:rFonts w:ascii="Arial" w:eastAsia="Arial" w:hAnsi="Arial" w:cs="Arial"/>
          <w:i/>
        </w:rPr>
        <w:t>“Visto que según reunión mantenida por la Secretaria General con el Área de Urbanismo el 31 de enero de 2020 se ha puesto de conocimiento de la existencia de sente</w:t>
      </w:r>
      <w:r>
        <w:rPr>
          <w:rFonts w:ascii="Arial" w:eastAsia="Arial" w:hAnsi="Arial" w:cs="Arial"/>
          <w:i/>
        </w:rPr>
        <w:t>ncias firmes que afectan al Plan General de Ordenación vigente del municipio de Candelaria de las que no se ha tomado conocimiento por el Pleno de la Corporación y en consecuencia no se han ejecutado llevándolas a puro y debido efecto como exige la Ley 29/</w:t>
      </w:r>
      <w:r>
        <w:rPr>
          <w:rFonts w:ascii="Arial" w:eastAsia="Arial" w:hAnsi="Arial" w:cs="Arial"/>
          <w:i/>
        </w:rPr>
        <w:t xml:space="preserve">1998, de la Jurisdicción Contencioso-Administrativa.  </w:t>
      </w:r>
    </w:p>
    <w:p w:rsidR="00FA7413" w:rsidRDefault="00D712A8">
      <w:pPr>
        <w:spacing w:after="0"/>
        <w:ind w:left="360"/>
      </w:pPr>
      <w:r>
        <w:rPr>
          <w:rFonts w:ascii="Arial" w:eastAsia="Arial" w:hAnsi="Arial" w:cs="Arial"/>
        </w:rPr>
        <w:t xml:space="preserve"> </w:t>
      </w:r>
    </w:p>
    <w:p w:rsidR="00FA7413" w:rsidRDefault="00D712A8">
      <w:pPr>
        <w:spacing w:after="0" w:line="247" w:lineRule="auto"/>
        <w:ind w:left="355" w:right="62" w:hanging="10"/>
        <w:jc w:val="both"/>
      </w:pPr>
      <w:r>
        <w:rPr>
          <w:rFonts w:ascii="Arial" w:eastAsia="Arial" w:hAnsi="Arial" w:cs="Arial"/>
          <w:i/>
        </w:rPr>
        <w:t>Visto que ya consta en el expediente 10989/2019 que la Concejal delegada de Planificación y Gestión Urbanística y Ambiental emitió oficio el 12 de noviembre de 2019 solicitando dichas sentencias a Se</w:t>
      </w:r>
      <w:r>
        <w:rPr>
          <w:rFonts w:ascii="Arial" w:eastAsia="Arial" w:hAnsi="Arial" w:cs="Arial"/>
          <w:i/>
        </w:rPr>
        <w:t xml:space="preserve">rvicios Generales y de las que no se tiene conocimiento que se han remitido para su toma de conocimiento por el pleno y su ejecución correspondiente.  </w:t>
      </w:r>
    </w:p>
    <w:p w:rsidR="00FA7413" w:rsidRDefault="00D712A8">
      <w:pPr>
        <w:spacing w:after="0"/>
        <w:ind w:left="360"/>
      </w:pPr>
      <w:r>
        <w:rPr>
          <w:rFonts w:ascii="Arial" w:eastAsia="Arial" w:hAnsi="Arial" w:cs="Arial"/>
        </w:rPr>
        <w:t xml:space="preserve"> </w:t>
      </w:r>
    </w:p>
    <w:p w:rsidR="00FA7413" w:rsidRDefault="00D712A8">
      <w:pPr>
        <w:spacing w:after="0" w:line="247" w:lineRule="auto"/>
        <w:ind w:left="355" w:right="62" w:hanging="10"/>
        <w:jc w:val="both"/>
      </w:pPr>
      <w:r>
        <w:rPr>
          <w:rFonts w:ascii="Arial" w:eastAsia="Arial" w:hAnsi="Arial" w:cs="Arial"/>
          <w:i/>
        </w:rPr>
        <w:t>Se le solicita al Departamento de Servicios Generales, Contratación y Bienes que en el período improrr</w:t>
      </w:r>
      <w:r>
        <w:rPr>
          <w:rFonts w:ascii="Arial" w:eastAsia="Arial" w:hAnsi="Arial" w:cs="Arial"/>
          <w:i/>
        </w:rPr>
        <w:t>ogable comprendido desde el 3 al 28 de febrero de 2020 remita a Secretaría General debidamente ordenados y clasificados con un oficio de remisión, todos los expedientes originales que obren en ese Departamento entre el año 2007 hasta el año 2020 sobre sent</w:t>
      </w:r>
      <w:r>
        <w:rPr>
          <w:rFonts w:ascii="Arial" w:eastAsia="Arial" w:hAnsi="Arial" w:cs="Arial"/>
          <w:i/>
        </w:rPr>
        <w:t xml:space="preserve">encias resultantes de impugnaciones del orden jurisdiccional contencioso-administrativo relativas al Plan General de Ordenación actualmente vigente publicado en el BOP de 17 de mayo de 2007 a los efectos de preparar el expediente con los informes técnicos </w:t>
      </w:r>
      <w:r>
        <w:rPr>
          <w:rFonts w:ascii="Arial" w:eastAsia="Arial" w:hAnsi="Arial" w:cs="Arial"/>
          <w:i/>
        </w:rPr>
        <w:t>y jurídicos correspondientes para su toma de conocimiento por el Pleno ordinario de marzo y la ejecución y cumplimiento de dichas sentencias”.</w:t>
      </w:r>
      <w:r>
        <w:rPr>
          <w:rFonts w:ascii="Times New Roman" w:eastAsia="Times New Roman" w:hAnsi="Times New Roman" w:cs="Times New Roman"/>
          <w:sz w:val="24"/>
        </w:rPr>
        <w:t xml:space="preserve"> </w:t>
      </w:r>
    </w:p>
    <w:p w:rsidR="00FA7413" w:rsidRDefault="00D712A8">
      <w:pPr>
        <w:spacing w:after="0"/>
        <w:ind w:left="360"/>
      </w:pPr>
      <w:r>
        <w:rPr>
          <w:rFonts w:ascii="Arial" w:eastAsia="Arial" w:hAnsi="Arial" w:cs="Arial"/>
          <w:b/>
          <w:i/>
        </w:rPr>
        <w:t xml:space="preserve">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2" w:hanging="10"/>
        <w:jc w:val="both"/>
      </w:pPr>
      <w:r>
        <w:rPr>
          <w:rFonts w:ascii="Arial" w:eastAsia="Arial" w:hAnsi="Arial" w:cs="Arial"/>
          <w:b/>
        </w:rPr>
        <w:t xml:space="preserve">Las 7 concejalas presentes tomaron conocimiento: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Los 4 concejales del Grupo </w:t>
      </w:r>
      <w:r>
        <w:rPr>
          <w:rFonts w:ascii="Arial" w:eastAsia="Arial" w:hAnsi="Arial" w:cs="Arial"/>
        </w:rPr>
        <w:t xml:space="preserve">Socialista: Doña Hilaria Cecilia Otazo González, Don José Francisco </w:t>
      </w:r>
    </w:p>
    <w:p w:rsidR="00FA7413" w:rsidRDefault="00D712A8">
      <w:pPr>
        <w:spacing w:after="11" w:line="248" w:lineRule="auto"/>
        <w:ind w:left="355" w:right="64" w:hanging="10"/>
        <w:jc w:val="both"/>
      </w:pPr>
      <w:r>
        <w:rPr>
          <w:rFonts w:ascii="Arial" w:eastAsia="Arial" w:hAnsi="Arial" w:cs="Arial"/>
        </w:rPr>
        <w:t xml:space="preserve">Pinto Ramos, Doña María del Carmen Clemente Díaz y Don Olegario Francisco Alonso Bello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La concejal del Grupo Popular, Doña Raquel Martín Castro.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La 2 concejalas del Grupo Mixto: Doñ</w:t>
      </w:r>
      <w:r>
        <w:rPr>
          <w:rFonts w:ascii="Arial" w:eastAsia="Arial" w:hAnsi="Arial" w:cs="Arial"/>
        </w:rPr>
        <w:t xml:space="preserve">a Lourdes del Carmen Mondéjar Rondón (SSP)  y Doña Ángela Cruz Perera (CC).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3516" w:hanging="10"/>
        <w:jc w:val="both"/>
      </w:pPr>
      <w:r>
        <w:rPr>
          <w:rFonts w:ascii="Arial" w:eastAsia="Arial" w:hAnsi="Arial" w:cs="Arial"/>
          <w:b/>
        </w:rPr>
        <w:t xml:space="preserve">JUNTA DE PORTAVOCES DE 21 DE JUNIO DE 2021  </w:t>
      </w:r>
      <w:r>
        <w:rPr>
          <w:rFonts w:ascii="Arial" w:eastAsia="Arial" w:hAnsi="Arial" w:cs="Arial"/>
        </w:rPr>
        <w:t xml:space="preserve">Quedó oída.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355" w:right="62" w:hanging="10"/>
        <w:jc w:val="both"/>
      </w:pPr>
      <w:r>
        <w:rPr>
          <w:rFonts w:ascii="Arial" w:eastAsia="Arial" w:hAnsi="Arial" w:cs="Arial"/>
          <w:b/>
        </w:rPr>
        <w:t xml:space="preserve">TOMA DE CONOCIMIENTO EN EL PLENO DE 24 DE JUNIO DE 2021.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355" w:right="64" w:hanging="10"/>
        <w:jc w:val="both"/>
      </w:pPr>
      <w:r>
        <w:rPr>
          <w:rFonts w:ascii="Arial" w:eastAsia="Arial" w:hAnsi="Arial" w:cs="Arial"/>
        </w:rPr>
        <w:t xml:space="preserve">Los 18 concejales presentes tomaron conocimiento: </w:t>
      </w:r>
    </w:p>
    <w:p w:rsidR="00FA7413" w:rsidRDefault="00D712A8">
      <w:pPr>
        <w:spacing w:after="0"/>
        <w:ind w:left="360"/>
      </w:pPr>
      <w:r>
        <w:rPr>
          <w:rFonts w:ascii="Arial" w:eastAsia="Arial" w:hAnsi="Arial" w:cs="Arial"/>
          <w:b/>
        </w:rPr>
        <w:t xml:space="preserve"> </w:t>
      </w:r>
    </w:p>
    <w:p w:rsidR="00FA7413" w:rsidRDefault="00D712A8">
      <w:pPr>
        <w:spacing w:after="109" w:line="248" w:lineRule="auto"/>
        <w:ind w:left="345" w:right="64" w:firstLine="708"/>
        <w:jc w:val="both"/>
      </w:pPr>
      <w:r>
        <w:rPr>
          <w:noProof/>
        </w:rPr>
        <mc:AlternateContent>
          <mc:Choice Requires="wpg">
            <w:drawing>
              <wp:anchor distT="0" distB="0" distL="114300" distR="114300" simplePos="0" relativeHeight="251693056"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06864" name="Group 206864"/>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5253" name="Rectangle 5253"/>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5254" name="Rectangle 5254"/>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33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6864" style="width:12.7031pt;height:275.586pt;position:absolute;mso-position-horizontal-relative:page;mso-position-horizontal:absolute;margin-left:682.278pt;mso-position-vertical-relative:page;margin-top:536.334pt;" coordsize="1613,34999">
                <v:rect id="Rectangle 5253"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5254"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 de 180 </w:t>
                        </w:r>
                      </w:p>
                    </w:txbxContent>
                  </v:textbox>
                </v:rect>
                <w10:wrap type="square"/>
              </v:group>
            </w:pict>
          </mc:Fallback>
        </mc:AlternateContent>
      </w:r>
      <w:r>
        <w:rPr>
          <w:rFonts w:ascii="Arial" w:eastAsia="Arial" w:hAnsi="Arial" w:cs="Arial"/>
        </w:rPr>
        <w:t>11 concejales del Grupo Socialista: Doña María Concepción B</w:t>
      </w:r>
      <w:r>
        <w:rPr>
          <w:rFonts w:ascii="Arial" w:eastAsia="Arial" w:hAnsi="Arial" w:cs="Arial"/>
        </w:rPr>
        <w:t>rito Núñez, Don Jorge Baute Delgado, Doña Olivia Concepción Pérez Díaz, Don José Francisco Pinto Ramos, Doña Hilaria Cecilia Otazo González, Don Airam Pérez Chinea, Doña Margarita Eva Tendero Barroso, Don Manuel Alberto González Pestano, Doña María del Car</w:t>
      </w:r>
      <w:r>
        <w:rPr>
          <w:rFonts w:ascii="Arial" w:eastAsia="Arial" w:hAnsi="Arial" w:cs="Arial"/>
        </w:rPr>
        <w:t xml:space="preserve">men Clemente Díaz, Don Olegario Francisco Alonso Bello y Don Reinaldo José Triviño Blanco. </w:t>
      </w:r>
    </w:p>
    <w:p w:rsidR="00FA7413" w:rsidRDefault="00D712A8">
      <w:pPr>
        <w:spacing w:after="109" w:line="248" w:lineRule="auto"/>
        <w:ind w:left="345" w:right="64" w:firstLine="708"/>
        <w:jc w:val="both"/>
      </w:pPr>
      <w:r>
        <w:rPr>
          <w:rFonts w:ascii="Arial" w:eastAsia="Arial" w:hAnsi="Arial" w:cs="Arial"/>
        </w:rPr>
        <w:t xml:space="preserve">3 concejales del Grupo Popular: Don Andrés Rodríguez Delgado, Don Jacobo López Fariña y Doña Raquel Martín Castro. </w:t>
      </w:r>
    </w:p>
    <w:p w:rsidR="00FA7413" w:rsidRDefault="00D712A8">
      <w:pPr>
        <w:spacing w:after="109" w:line="248" w:lineRule="auto"/>
        <w:ind w:left="345" w:right="64" w:firstLine="708"/>
        <w:jc w:val="both"/>
      </w:pPr>
      <w:r>
        <w:rPr>
          <w:rFonts w:ascii="Arial" w:eastAsia="Arial" w:hAnsi="Arial" w:cs="Arial"/>
        </w:rPr>
        <w:t>3 de los concejales del Grupo Mixto: Don Antonio</w:t>
      </w:r>
      <w:r>
        <w:rPr>
          <w:rFonts w:ascii="Arial" w:eastAsia="Arial" w:hAnsi="Arial" w:cs="Arial"/>
        </w:rPr>
        <w:t xml:space="preserve"> Delgado García y Doña Lourdes del Carmen Mondéjar Rondón (SSP) y  Doña Ángela Cruz Perera (CC). </w:t>
      </w:r>
    </w:p>
    <w:p w:rsidR="00FA7413" w:rsidRDefault="00D712A8">
      <w:pPr>
        <w:spacing w:after="109" w:line="248" w:lineRule="auto"/>
        <w:ind w:left="1078" w:right="64" w:hanging="10"/>
        <w:jc w:val="both"/>
      </w:pPr>
      <w:r>
        <w:rPr>
          <w:rFonts w:ascii="Arial" w:eastAsia="Arial" w:hAnsi="Arial" w:cs="Arial"/>
        </w:rPr>
        <w:t xml:space="preserve">1 de la concejal del Grupo Mixto (VxC): Doña Alicia Mercedes Marrero Meneses. </w:t>
      </w:r>
    </w:p>
    <w:p w:rsidR="00FA7413" w:rsidRDefault="00D712A8">
      <w:pPr>
        <w:spacing w:after="100"/>
        <w:ind w:left="1068"/>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1789" w:right="62" w:hanging="10"/>
        <w:jc w:val="both"/>
      </w:pPr>
      <w:r>
        <w:rPr>
          <w:rFonts w:ascii="Arial" w:eastAsia="Arial" w:hAnsi="Arial" w:cs="Arial"/>
          <w:b/>
        </w:rPr>
        <w:t xml:space="preserve">         ACUERDO DEL PLENO DE 24 DE JUNIO DE 2021. </w:t>
      </w:r>
    </w:p>
    <w:p w:rsidR="00FA7413" w:rsidRDefault="00D712A8">
      <w:pPr>
        <w:spacing w:after="0"/>
        <w:ind w:left="360"/>
      </w:pPr>
      <w:r>
        <w:rPr>
          <w:rFonts w:ascii="Arial" w:eastAsia="Arial" w:hAnsi="Arial" w:cs="Arial"/>
          <w:b/>
        </w:rPr>
        <w:t xml:space="preserve"> </w:t>
      </w:r>
    </w:p>
    <w:p w:rsidR="00FA7413" w:rsidRDefault="00D712A8">
      <w:pPr>
        <w:spacing w:after="112" w:line="248" w:lineRule="auto"/>
        <w:ind w:left="345" w:right="62" w:firstLine="708"/>
        <w:jc w:val="both"/>
      </w:pPr>
      <w:r>
        <w:rPr>
          <w:rFonts w:ascii="Arial" w:eastAsia="Arial" w:hAnsi="Arial" w:cs="Arial"/>
          <w:b/>
        </w:rPr>
        <w:t>Primero. - Tomar cono</w:t>
      </w:r>
      <w:r>
        <w:rPr>
          <w:rFonts w:ascii="Arial" w:eastAsia="Arial" w:hAnsi="Arial" w:cs="Arial"/>
          <w:b/>
        </w:rPr>
        <w:t>cimiento de la Sentencia de 6 de marzo de 2009 (Procedimiento ordinario 112/2007) de la Sala de lo Contencioso-Administrativo del Tribunal Superior de Justicia de Canarias (Sección Segunda. Santa Cruz de Tenerife) por la que se desestima el recurso interpu</w:t>
      </w:r>
      <w:r>
        <w:rPr>
          <w:rFonts w:ascii="Arial" w:eastAsia="Arial" w:hAnsi="Arial" w:cs="Arial"/>
          <w:b/>
        </w:rPr>
        <w:t>esto por Don José Higuera Leal contra el acuerdo de la Comisión de Ordenación del Territorio y Medio Ambiente de Canarias (COTMAC) del Gobierno de Canarias de 20 de julio de 2006 y de corrección de errores de 10 de noviembre de 2006 por el que se aprobó de</w:t>
      </w:r>
      <w:r>
        <w:rPr>
          <w:rFonts w:ascii="Arial" w:eastAsia="Arial" w:hAnsi="Arial" w:cs="Arial"/>
          <w:b/>
        </w:rPr>
        <w:t xml:space="preserve">finitivamente el Plan General de Ordenación Urbana del municipio de Candelaria (BOC de 8 de mayo y 10 de mayo de 2007). </w:t>
      </w:r>
    </w:p>
    <w:p w:rsidR="00FA7413" w:rsidRDefault="00D712A8">
      <w:pPr>
        <w:spacing w:after="159" w:line="248" w:lineRule="auto"/>
        <w:ind w:left="1078" w:right="62" w:hanging="10"/>
        <w:jc w:val="both"/>
      </w:pPr>
      <w:r>
        <w:rPr>
          <w:rFonts w:ascii="Arial" w:eastAsia="Arial" w:hAnsi="Arial" w:cs="Arial"/>
          <w:b/>
        </w:rPr>
        <w:t xml:space="preserve">Segundo. - Notificar al presente acuerdo al interesado”. </w:t>
      </w:r>
    </w:p>
    <w:p w:rsidR="00FA7413" w:rsidRDefault="00D712A8">
      <w:pPr>
        <w:spacing w:after="146"/>
        <w:ind w:left="360"/>
      </w:pPr>
      <w:r>
        <w:rPr>
          <w:rFonts w:ascii="Arial" w:eastAsia="Arial" w:hAnsi="Arial" w:cs="Arial"/>
          <w:i/>
          <w:color w:val="222222"/>
        </w:rPr>
        <w:t xml:space="preserve"> </w:t>
      </w:r>
    </w:p>
    <w:p w:rsidR="00FA7413" w:rsidRDefault="00D712A8">
      <w:pPr>
        <w:spacing w:after="93" w:line="249" w:lineRule="auto"/>
        <w:ind w:left="355" w:right="66" w:hanging="10"/>
        <w:jc w:val="both"/>
      </w:pPr>
      <w:r>
        <w:rPr>
          <w:rFonts w:ascii="Arial" w:eastAsia="Arial" w:hAnsi="Arial" w:cs="Arial"/>
          <w:b/>
          <w:sz w:val="24"/>
        </w:rPr>
        <w:t>6.-</w:t>
      </w:r>
      <w:r>
        <w:rPr>
          <w:rFonts w:ascii="Arial" w:eastAsia="Arial" w:hAnsi="Arial" w:cs="Arial"/>
          <w:sz w:val="24"/>
        </w:rPr>
        <w:t xml:space="preserve"> </w:t>
      </w:r>
      <w:r>
        <w:rPr>
          <w:rFonts w:ascii="Arial" w:eastAsia="Arial" w:hAnsi="Arial" w:cs="Arial"/>
          <w:b/>
          <w:sz w:val="24"/>
        </w:rPr>
        <w:t>Expediente 2280/2020. Toma de conocimiento de la sentencia del Tribunal Superior de Justicia de Canarias de fecha 22 de junio de 2009 por la que se desestima el recurso interpuesto por Quintans y Hernández S.L. contra el PGO de Candelaria.</w:t>
      </w:r>
      <w:r>
        <w:rPr>
          <w:rFonts w:ascii="Arial" w:eastAsia="Arial" w:hAnsi="Arial" w:cs="Arial"/>
        </w:rPr>
        <w:t xml:space="preserve"> </w:t>
      </w:r>
    </w:p>
    <w:p w:rsidR="00FA7413" w:rsidRDefault="00D712A8">
      <w:pPr>
        <w:spacing w:after="101"/>
        <w:ind w:left="360"/>
      </w:pPr>
      <w:r>
        <w:rPr>
          <w:rFonts w:ascii="Arial" w:eastAsia="Arial" w:hAnsi="Arial" w:cs="Arial"/>
          <w:b/>
        </w:rPr>
        <w:t xml:space="preserve"> </w:t>
      </w:r>
    </w:p>
    <w:p w:rsidR="00FA7413" w:rsidRDefault="00D712A8">
      <w:pPr>
        <w:spacing w:after="112" w:line="248" w:lineRule="auto"/>
        <w:ind w:left="355" w:right="62" w:hanging="10"/>
        <w:jc w:val="both"/>
      </w:pPr>
      <w:r>
        <w:rPr>
          <w:rFonts w:ascii="Arial" w:eastAsia="Arial" w:hAnsi="Arial" w:cs="Arial"/>
          <w:b/>
        </w:rPr>
        <w:t xml:space="preserve">Consta en el </w:t>
      </w:r>
      <w:r>
        <w:rPr>
          <w:rFonts w:ascii="Arial" w:eastAsia="Arial" w:hAnsi="Arial" w:cs="Arial"/>
          <w:b/>
        </w:rPr>
        <w:t>expediente Informe Jurídico emitido por Don Octavio Manuel Fernández Hernández, que desempeña el puesto de trabajo de Secretario General, de 14 de junio de 2021, del siguiente tenor literal:</w:t>
      </w:r>
      <w:r>
        <w:rPr>
          <w:rFonts w:ascii="Arial" w:eastAsia="Arial" w:hAnsi="Arial" w:cs="Arial"/>
        </w:rPr>
        <w:t xml:space="preserve"> </w:t>
      </w:r>
    </w:p>
    <w:p w:rsidR="00FA7413" w:rsidRDefault="00D712A8">
      <w:pPr>
        <w:spacing w:after="111"/>
        <w:ind w:left="360"/>
      </w:pPr>
      <w:r>
        <w:rPr>
          <w:rFonts w:ascii="Arial" w:eastAsia="Arial" w:hAnsi="Arial" w:cs="Arial"/>
          <w:b/>
        </w:rPr>
        <w:t xml:space="preserve"> </w:t>
      </w:r>
    </w:p>
    <w:p w:rsidR="00FA7413" w:rsidRDefault="00D712A8">
      <w:pPr>
        <w:pStyle w:val="Ttulo1"/>
        <w:ind w:left="1013" w:right="1512"/>
      </w:pPr>
      <w:r>
        <w:t xml:space="preserve">              “INFORME JURÍDICO                  Antecedentes </w:t>
      </w:r>
      <w:r>
        <w:t xml:space="preserve">de hecho   </w:t>
      </w:r>
    </w:p>
    <w:p w:rsidR="00FA7413" w:rsidRDefault="00D712A8">
      <w:pPr>
        <w:spacing w:after="109" w:line="248" w:lineRule="auto"/>
        <w:ind w:left="345" w:right="64" w:firstLine="708"/>
        <w:jc w:val="both"/>
      </w:pPr>
      <w:r>
        <w:rPr>
          <w:rFonts w:ascii="Arial" w:eastAsia="Arial" w:hAnsi="Arial" w:cs="Arial"/>
          <w:b/>
        </w:rPr>
        <w:t xml:space="preserve">Primero. - </w:t>
      </w:r>
      <w:r>
        <w:rPr>
          <w:rFonts w:ascii="Arial" w:eastAsia="Arial" w:hAnsi="Arial" w:cs="Arial"/>
        </w:rPr>
        <w:t>Por Acuerdo de la Comisión de Ordenación del Territorio y Medio Ambiente de Canarias (COTMAC) del Gobierno de Canarias de 20 de julio de 2006 y de corrección de errores de 10 de noviembre de 2006 se aprobó definitivamente el Plan Gen</w:t>
      </w:r>
      <w:r>
        <w:rPr>
          <w:rFonts w:ascii="Arial" w:eastAsia="Arial" w:hAnsi="Arial" w:cs="Arial"/>
        </w:rPr>
        <w:t xml:space="preserve">eral de Ordenación Urbana del municipio de Candelaria (BOC de 8 de mayo y 10 de mayo de 2007) (BOP 17 de mayo de 2007) </w:t>
      </w:r>
    </w:p>
    <w:p w:rsidR="00FA7413" w:rsidRDefault="00D712A8">
      <w:pPr>
        <w:spacing w:after="109" w:line="248" w:lineRule="auto"/>
        <w:ind w:left="345" w:right="64" w:firstLine="708"/>
        <w:jc w:val="both"/>
      </w:pPr>
      <w:r>
        <w:rPr>
          <w:rFonts w:ascii="Arial" w:eastAsia="Arial" w:hAnsi="Arial" w:cs="Arial"/>
          <w:b/>
        </w:rPr>
        <w:t>Segundo. -</w:t>
      </w:r>
      <w:r>
        <w:rPr>
          <w:rFonts w:ascii="Arial" w:eastAsia="Arial" w:hAnsi="Arial" w:cs="Arial"/>
        </w:rPr>
        <w:t xml:space="preserve"> Que se interpuso recurso contencioso-</w:t>
      </w:r>
      <w:r>
        <w:rPr>
          <w:rFonts w:ascii="Arial" w:eastAsia="Arial" w:hAnsi="Arial" w:cs="Arial"/>
        </w:rPr>
        <w:t xml:space="preserve">administrativo contra el acuerdo mencionado en el punto primero por la entidad mercantil Quintans Hernández S.L. </w:t>
      </w:r>
    </w:p>
    <w:p w:rsidR="00FA7413" w:rsidRDefault="00D712A8">
      <w:pPr>
        <w:spacing w:after="109" w:line="248" w:lineRule="auto"/>
        <w:ind w:left="355" w:right="64" w:hanging="10"/>
        <w:jc w:val="both"/>
      </w:pPr>
      <w:r>
        <w:rPr>
          <w:noProof/>
        </w:rPr>
        <mc:AlternateContent>
          <mc:Choice Requires="wpg">
            <w:drawing>
              <wp:anchor distT="0" distB="0" distL="114300" distR="114300" simplePos="0" relativeHeight="251694080"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01026" name="Group 201026"/>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5394" name="Rectangle 5394"/>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5395" name="Rectangle 5395"/>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34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1026" style="width:12.7031pt;height:275.586pt;position:absolute;mso-position-horizontal-relative:page;mso-position-horizontal:absolute;margin-left:682.278pt;mso-position-vertical-relative:page;margin-top:536.334pt;" coordsize="1613,34999">
                <v:rect id="Rectangle 5394"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5395"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 de 180 </w:t>
                        </w:r>
                      </w:p>
                    </w:txbxContent>
                  </v:textbox>
                </v:rect>
                <w10:wrap type="square"/>
              </v:group>
            </w:pict>
          </mc:Fallback>
        </mc:AlternateContent>
      </w:r>
      <w:r>
        <w:rPr>
          <w:rFonts w:ascii="Arial" w:eastAsia="Arial" w:hAnsi="Arial" w:cs="Arial"/>
          <w:b/>
        </w:rPr>
        <w:t xml:space="preserve"> </w:t>
      </w:r>
      <w:r>
        <w:rPr>
          <w:rFonts w:ascii="Arial" w:eastAsia="Arial" w:hAnsi="Arial" w:cs="Arial"/>
          <w:b/>
        </w:rPr>
        <w:tab/>
        <w:t xml:space="preserve">Tercero. - </w:t>
      </w:r>
      <w:r>
        <w:rPr>
          <w:rFonts w:ascii="Arial" w:eastAsia="Arial" w:hAnsi="Arial" w:cs="Arial"/>
        </w:rPr>
        <w:t xml:space="preserve">Que consta en el expediente sentencia que ha remitido Servicios Generales a la Secretaría General con fecha 26 de febrero de 2020: </w:t>
      </w:r>
    </w:p>
    <w:p w:rsidR="00FA7413" w:rsidRDefault="00D712A8">
      <w:pPr>
        <w:spacing w:after="109" w:line="248" w:lineRule="auto"/>
        <w:ind w:left="355" w:right="64" w:hanging="10"/>
        <w:jc w:val="both"/>
      </w:pPr>
      <w:r>
        <w:rPr>
          <w:rFonts w:ascii="Arial" w:eastAsia="Arial" w:hAnsi="Arial" w:cs="Arial"/>
        </w:rPr>
        <w:t>Sentencia 123/200</w:t>
      </w:r>
      <w:r>
        <w:rPr>
          <w:rFonts w:ascii="Arial" w:eastAsia="Arial" w:hAnsi="Arial" w:cs="Arial"/>
        </w:rPr>
        <w:t xml:space="preserve">9 de 22 de junio. Procedimiento ordinario 114/2007. Sala de lo ContenciosoAdministrativo del Tribunal Superior de Justicia de Canarias. Sección Segunda. Santa Cruz de Tenerife. </w:t>
      </w:r>
    </w:p>
    <w:p w:rsidR="00FA7413" w:rsidRDefault="00D712A8">
      <w:pPr>
        <w:spacing w:after="112" w:line="247" w:lineRule="auto"/>
        <w:ind w:left="355" w:right="62" w:hanging="10"/>
        <w:jc w:val="both"/>
      </w:pPr>
      <w:r>
        <w:rPr>
          <w:rFonts w:ascii="Arial" w:eastAsia="Arial" w:hAnsi="Arial" w:cs="Arial"/>
        </w:rPr>
        <w:t>Fallo:</w:t>
      </w:r>
      <w:r>
        <w:rPr>
          <w:rFonts w:ascii="Arial" w:eastAsia="Arial" w:hAnsi="Arial" w:cs="Arial"/>
          <w:i/>
        </w:rPr>
        <w:t xml:space="preserve"> Desestimamos el recurso contencioso-administrativo núm 114/2007, sin im</w:t>
      </w:r>
      <w:r>
        <w:rPr>
          <w:rFonts w:ascii="Arial" w:eastAsia="Arial" w:hAnsi="Arial" w:cs="Arial"/>
          <w:i/>
        </w:rPr>
        <w:t>posición de costas.</w:t>
      </w:r>
      <w:r>
        <w:rPr>
          <w:rFonts w:ascii="Arial" w:eastAsia="Arial" w:hAnsi="Arial" w:cs="Arial"/>
        </w:rPr>
        <w:t xml:space="preserve"> </w:t>
      </w:r>
    </w:p>
    <w:p w:rsidR="00FA7413" w:rsidRDefault="00D712A8">
      <w:pPr>
        <w:spacing w:after="95"/>
        <w:ind w:left="360"/>
      </w:pPr>
      <w:r>
        <w:rPr>
          <w:rFonts w:ascii="Arial" w:eastAsia="Arial" w:hAnsi="Arial" w:cs="Arial"/>
          <w:i/>
        </w:rPr>
        <w:t xml:space="preserve"> </w:t>
      </w:r>
    </w:p>
    <w:p w:rsidR="00FA7413" w:rsidRDefault="00D712A8">
      <w:pPr>
        <w:spacing w:after="149" w:line="248" w:lineRule="auto"/>
        <w:ind w:left="355" w:right="64" w:hanging="10"/>
        <w:jc w:val="both"/>
      </w:pPr>
      <w:r>
        <w:rPr>
          <w:rFonts w:ascii="Arial" w:eastAsia="Arial" w:hAnsi="Arial" w:cs="Arial"/>
          <w:b/>
        </w:rPr>
        <w:t xml:space="preserve">Cuarto. - </w:t>
      </w:r>
      <w:r>
        <w:rPr>
          <w:rFonts w:ascii="Arial" w:eastAsia="Arial" w:hAnsi="Arial" w:cs="Arial"/>
        </w:rPr>
        <w:t xml:space="preserve">Que con fecha 7 de junio de 2021 ha tenido entrada en el Ayuntamiento de Candelaria, el oficio del Gobierno de Canarias que en relación al presente expediente dice: </w:t>
      </w:r>
    </w:p>
    <w:p w:rsidR="00FA7413" w:rsidRDefault="00D712A8">
      <w:pPr>
        <w:spacing w:after="112" w:line="247" w:lineRule="auto"/>
        <w:ind w:left="355" w:right="62" w:hanging="10"/>
        <w:jc w:val="both"/>
      </w:pPr>
      <w:r>
        <w:rPr>
          <w:rFonts w:ascii="Arial" w:eastAsia="Arial" w:hAnsi="Arial" w:cs="Arial"/>
        </w:rPr>
        <w:t xml:space="preserve"> </w:t>
      </w:r>
      <w:r>
        <w:rPr>
          <w:rFonts w:ascii="Arial" w:eastAsia="Arial" w:hAnsi="Arial" w:cs="Arial"/>
          <w:i/>
        </w:rPr>
        <w:t>“En los casos de las sentencias de los expedientes númer</w:t>
      </w:r>
      <w:r>
        <w:rPr>
          <w:rFonts w:ascii="Arial" w:eastAsia="Arial" w:hAnsi="Arial" w:cs="Arial"/>
          <w:i/>
        </w:rPr>
        <w:t>o 2252/2020, 2280/2020, 2257/2020, 2254/2020, 2284/2020 y 2282/2020 dado que se refieren a procedimientos en los que los recursos interpuestos han sido desestimados por considerarse que el acto recurrido es ajustado a derecho, no se requiere de actuación a</w:t>
      </w:r>
      <w:r>
        <w:rPr>
          <w:rFonts w:ascii="Arial" w:eastAsia="Arial" w:hAnsi="Arial" w:cs="Arial"/>
          <w:i/>
        </w:rPr>
        <w:t>lguna tendente a la ejecución de su fallo.</w:t>
      </w:r>
      <w:r>
        <w:rPr>
          <w:rFonts w:ascii="Arial" w:eastAsia="Arial" w:hAnsi="Arial" w:cs="Arial"/>
        </w:rPr>
        <w:t xml:space="preserve"> </w:t>
      </w:r>
    </w:p>
    <w:p w:rsidR="00FA7413" w:rsidRDefault="00D712A8">
      <w:pPr>
        <w:spacing w:after="112" w:line="247" w:lineRule="auto"/>
        <w:ind w:left="355" w:right="62" w:hanging="10"/>
        <w:jc w:val="both"/>
      </w:pPr>
      <w:r>
        <w:rPr>
          <w:rFonts w:ascii="Arial" w:eastAsia="Arial" w:hAnsi="Arial" w:cs="Arial"/>
          <w:i/>
        </w:rPr>
        <w:t xml:space="preserve"> La labor de ejecución en estos casos se reduce a una actuación formal de toma de conocimiento de la sentencia por parte del órgano competente, sin que se requiera de la realización de ninguna otra actividad mate</w:t>
      </w:r>
      <w:r>
        <w:rPr>
          <w:rFonts w:ascii="Arial" w:eastAsia="Arial" w:hAnsi="Arial" w:cs="Arial"/>
          <w:i/>
        </w:rPr>
        <w:t xml:space="preserve">rial de ejecución. </w:t>
      </w:r>
    </w:p>
    <w:p w:rsidR="00FA7413" w:rsidRDefault="00D712A8">
      <w:pPr>
        <w:spacing w:after="112" w:line="247" w:lineRule="auto"/>
        <w:ind w:left="355" w:right="62" w:hanging="10"/>
        <w:jc w:val="both"/>
      </w:pPr>
      <w:r>
        <w:rPr>
          <w:rFonts w:ascii="Arial" w:eastAsia="Arial" w:hAnsi="Arial" w:cs="Arial"/>
          <w:i/>
        </w:rPr>
        <w:t xml:space="preserve"> Dicha actuación ha sido llevada a cabo en la forma expuesta en el apartado anterior, por lo que la ejecución de estas sentencias ha de darse por concluida desde el mismo momento en que la Comisión de Ordenación del Territorio y Medio A</w:t>
      </w:r>
      <w:r>
        <w:rPr>
          <w:rFonts w:ascii="Arial" w:eastAsia="Arial" w:hAnsi="Arial" w:cs="Arial"/>
          <w:i/>
        </w:rPr>
        <w:t xml:space="preserve">mbiente de Canarias tomó conocimiento de ellas y lo comunicó al Ayuntamiento”. </w:t>
      </w:r>
    </w:p>
    <w:p w:rsidR="00FA7413" w:rsidRDefault="00D712A8">
      <w:pPr>
        <w:spacing w:after="0"/>
        <w:ind w:left="1068"/>
      </w:pPr>
      <w:r>
        <w:rPr>
          <w:rFonts w:ascii="Arial" w:eastAsia="Arial" w:hAnsi="Arial" w:cs="Arial"/>
          <w:b/>
        </w:rPr>
        <w:t xml:space="preserve"> </w:t>
      </w:r>
    </w:p>
    <w:p w:rsidR="00FA7413" w:rsidRDefault="00D712A8">
      <w:pPr>
        <w:spacing w:after="112" w:line="248" w:lineRule="auto"/>
        <w:ind w:left="2497" w:right="62" w:hanging="10"/>
        <w:jc w:val="both"/>
      </w:pPr>
      <w:r>
        <w:rPr>
          <w:rFonts w:ascii="Arial" w:eastAsia="Arial" w:hAnsi="Arial" w:cs="Arial"/>
          <w:b/>
        </w:rPr>
        <w:t xml:space="preserve">            Fundamentos de derecho </w:t>
      </w:r>
    </w:p>
    <w:p w:rsidR="00FA7413" w:rsidRDefault="00D712A8">
      <w:pPr>
        <w:spacing w:after="112" w:line="248" w:lineRule="auto"/>
        <w:ind w:left="355" w:right="62" w:hanging="10"/>
        <w:jc w:val="both"/>
      </w:pPr>
      <w:r>
        <w:rPr>
          <w:rFonts w:ascii="Arial" w:eastAsia="Arial" w:hAnsi="Arial" w:cs="Arial"/>
          <w:b/>
        </w:rPr>
        <w:t xml:space="preserve"> Primero. - Es de aplicación lo dispuesto en el artículo 118 de la constitución que establece: </w:t>
      </w:r>
    </w:p>
    <w:p w:rsidR="00FA7413" w:rsidRDefault="00D712A8">
      <w:pPr>
        <w:spacing w:after="112" w:line="247" w:lineRule="auto"/>
        <w:ind w:left="345" w:right="62" w:firstLine="708"/>
        <w:jc w:val="both"/>
      </w:pPr>
      <w:r>
        <w:rPr>
          <w:rFonts w:ascii="Arial" w:eastAsia="Arial" w:hAnsi="Arial" w:cs="Arial"/>
          <w:i/>
        </w:rPr>
        <w:t>Es obligado cumplir las sentencias y demás resoluciones firmes de los Jueces y Tribunales, así como prestar la colaboración requerida por éstos en el curso del proceso y en la ejecución de lo resuelto</w:t>
      </w:r>
      <w:r>
        <w:rPr>
          <w:rFonts w:ascii="Arial" w:eastAsia="Arial" w:hAnsi="Arial" w:cs="Arial"/>
        </w:rPr>
        <w:t xml:space="preserve">. </w:t>
      </w:r>
    </w:p>
    <w:p w:rsidR="00FA7413" w:rsidRDefault="00D712A8">
      <w:pPr>
        <w:spacing w:after="112" w:line="248" w:lineRule="auto"/>
        <w:ind w:left="345" w:right="62" w:firstLine="708"/>
        <w:jc w:val="both"/>
      </w:pPr>
      <w:r>
        <w:rPr>
          <w:rFonts w:ascii="Arial" w:eastAsia="Arial" w:hAnsi="Arial" w:cs="Arial"/>
          <w:b/>
        </w:rPr>
        <w:t>Segundo. - Es de aplicación lo dispuesto en el artícu</w:t>
      </w:r>
      <w:r>
        <w:rPr>
          <w:rFonts w:ascii="Arial" w:eastAsia="Arial" w:hAnsi="Arial" w:cs="Arial"/>
          <w:b/>
        </w:rPr>
        <w:t xml:space="preserve">lo 103.2 de la Ley 29/1998, de 13 de julio, de la Jurisdicción Contencioso-Administrativa que establece: </w:t>
      </w:r>
    </w:p>
    <w:p w:rsidR="00FA7413" w:rsidRDefault="00D712A8">
      <w:pPr>
        <w:spacing w:after="112" w:line="247" w:lineRule="auto"/>
        <w:ind w:left="345" w:right="62" w:firstLine="708"/>
        <w:jc w:val="both"/>
      </w:pPr>
      <w:r>
        <w:rPr>
          <w:rFonts w:ascii="Arial" w:eastAsia="Arial" w:hAnsi="Arial" w:cs="Arial"/>
          <w:i/>
        </w:rPr>
        <w:t>2. Las partes están obligadas a cumplir las sentencias en la forma y términos que en éstas se consignen</w:t>
      </w:r>
      <w:r>
        <w:rPr>
          <w:rFonts w:ascii="Arial" w:eastAsia="Arial" w:hAnsi="Arial" w:cs="Arial"/>
        </w:rPr>
        <w:t xml:space="preserve"> </w:t>
      </w:r>
    </w:p>
    <w:p w:rsidR="00FA7413" w:rsidRDefault="00D712A8">
      <w:pPr>
        <w:spacing w:after="100"/>
        <w:ind w:left="1068"/>
      </w:pPr>
      <w:r>
        <w:rPr>
          <w:rFonts w:ascii="Arial" w:eastAsia="Arial" w:hAnsi="Arial" w:cs="Arial"/>
          <w:b/>
        </w:rPr>
        <w:t xml:space="preserve"> </w:t>
      </w:r>
    </w:p>
    <w:p w:rsidR="00FA7413" w:rsidRDefault="00D712A8">
      <w:pPr>
        <w:tabs>
          <w:tab w:val="center" w:pos="360"/>
          <w:tab w:val="center" w:pos="1068"/>
          <w:tab w:val="center" w:pos="1776"/>
          <w:tab w:val="center" w:pos="2484"/>
          <w:tab w:val="center" w:pos="4631"/>
        </w:tabs>
        <w:spacing w:after="112" w:line="248" w:lineRule="auto"/>
      </w:pPr>
      <w:r>
        <w:tab/>
      </w:r>
      <w:r>
        <w:rPr>
          <w:rFonts w:ascii="Arial" w:eastAsia="Arial" w:hAnsi="Arial" w:cs="Arial"/>
          <w:b/>
        </w:rPr>
        <w:t xml:space="preserve"> </w:t>
      </w:r>
      <w:r>
        <w:rPr>
          <w:rFonts w:ascii="Arial" w:eastAsia="Arial" w:hAnsi="Arial" w:cs="Arial"/>
          <w:b/>
        </w:rPr>
        <w:tab/>
        <w:t xml:space="preserve"> </w:t>
      </w:r>
      <w:r>
        <w:rPr>
          <w:rFonts w:ascii="Arial" w:eastAsia="Arial" w:hAnsi="Arial" w:cs="Arial"/>
          <w:b/>
        </w:rPr>
        <w:tab/>
        <w:t xml:space="preserve"> </w:t>
      </w:r>
      <w:r>
        <w:rPr>
          <w:rFonts w:ascii="Arial" w:eastAsia="Arial" w:hAnsi="Arial" w:cs="Arial"/>
          <w:b/>
        </w:rPr>
        <w:tab/>
        <w:t xml:space="preserve"> </w:t>
      </w:r>
      <w:r>
        <w:rPr>
          <w:rFonts w:ascii="Arial" w:eastAsia="Arial" w:hAnsi="Arial" w:cs="Arial"/>
          <w:b/>
        </w:rPr>
        <w:tab/>
        <w:t xml:space="preserve">PROPUESTA DE ACUERDO </w:t>
      </w:r>
    </w:p>
    <w:p w:rsidR="00FA7413" w:rsidRDefault="00D712A8">
      <w:pPr>
        <w:spacing w:after="112" w:line="248" w:lineRule="auto"/>
        <w:ind w:left="1078" w:right="62" w:hanging="10"/>
        <w:jc w:val="both"/>
      </w:pPr>
      <w:r>
        <w:rPr>
          <w:rFonts w:ascii="Arial" w:eastAsia="Arial" w:hAnsi="Arial" w:cs="Arial"/>
          <w:b/>
        </w:rPr>
        <w:t>Por lo expue</w:t>
      </w:r>
      <w:r>
        <w:rPr>
          <w:rFonts w:ascii="Arial" w:eastAsia="Arial" w:hAnsi="Arial" w:cs="Arial"/>
          <w:b/>
        </w:rPr>
        <w:t xml:space="preserve">sto se eleva la siguiente propuesta al Pleno: </w:t>
      </w:r>
    </w:p>
    <w:p w:rsidR="00FA7413" w:rsidRDefault="00D712A8">
      <w:pPr>
        <w:spacing w:after="100"/>
        <w:ind w:left="360"/>
      </w:pPr>
      <w:r>
        <w:rPr>
          <w:rFonts w:ascii="Arial" w:eastAsia="Arial" w:hAnsi="Arial" w:cs="Arial"/>
          <w:b/>
        </w:rPr>
        <w:t xml:space="preserve"> </w:t>
      </w:r>
    </w:p>
    <w:p w:rsidR="00FA7413" w:rsidRDefault="00D712A8">
      <w:pPr>
        <w:spacing w:after="109" w:line="248" w:lineRule="auto"/>
        <w:ind w:left="345" w:right="64" w:firstLine="708"/>
        <w:jc w:val="both"/>
      </w:pPr>
      <w:r>
        <w:rPr>
          <w:noProof/>
        </w:rPr>
        <mc:AlternateContent>
          <mc:Choice Requires="wpg">
            <w:drawing>
              <wp:anchor distT="0" distB="0" distL="114300" distR="114300" simplePos="0" relativeHeight="251695104"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05052" name="Group 205052"/>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5526" name="Rectangle 5526"/>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5527" name="Rectangle 5527"/>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35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5052" style="width:12.7031pt;height:275.586pt;position:absolute;mso-position-horizontal-relative:page;mso-position-horizontal:absolute;margin-left:682.278pt;mso-position-vertical-relative:page;margin-top:536.334pt;" coordsize="1613,34999">
                <v:rect id="Rectangle 5526"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5527"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35 de 180 </w:t>
                        </w:r>
                      </w:p>
                    </w:txbxContent>
                  </v:textbox>
                </v:rect>
                <w10:wrap type="square"/>
              </v:group>
            </w:pict>
          </mc:Fallback>
        </mc:AlternateContent>
      </w:r>
      <w:r>
        <w:rPr>
          <w:rFonts w:ascii="Arial" w:eastAsia="Arial" w:hAnsi="Arial" w:cs="Arial"/>
        </w:rPr>
        <w:t>Primero. -</w:t>
      </w:r>
      <w:r>
        <w:rPr>
          <w:rFonts w:ascii="Arial" w:eastAsia="Arial" w:hAnsi="Arial" w:cs="Arial"/>
        </w:rPr>
        <w:t xml:space="preserve"> Tomar conocimiento de la Sentencia de 22 de junio de 2009 (Procedimiento ordinario 114/2007) de la Sala de lo Contencioso-Administrativo del Tribunal Superior de Justicia de Canarias (Sección Segunda. Santa Cruz de Tenerife) por la que se desestima el rec</w:t>
      </w:r>
      <w:r>
        <w:rPr>
          <w:rFonts w:ascii="Arial" w:eastAsia="Arial" w:hAnsi="Arial" w:cs="Arial"/>
        </w:rPr>
        <w:t>urso interpuesto por Quintans y Hernández S. L., contra el acuerdo de la Comisión de Ordenación del Territorio y Medio Ambiente de Canarias (COTMAC) del Gobierno de Canarias de 20 de julio de 2006 y de corrección de errores de 10 de noviembre de 2006 se ap</w:t>
      </w:r>
      <w:r>
        <w:rPr>
          <w:rFonts w:ascii="Arial" w:eastAsia="Arial" w:hAnsi="Arial" w:cs="Arial"/>
        </w:rPr>
        <w:t xml:space="preserve">robó definitivamente el Plan General de Ordenación Urbana del municipio de Candelaria (BOC de 8 de mayo y 10 de mayo de 2007). </w:t>
      </w:r>
    </w:p>
    <w:p w:rsidR="00FA7413" w:rsidRDefault="00D712A8">
      <w:pPr>
        <w:spacing w:after="131"/>
        <w:ind w:left="360"/>
      </w:pPr>
      <w:r>
        <w:rPr>
          <w:rFonts w:ascii="Arial" w:eastAsia="Arial" w:hAnsi="Arial" w:cs="Arial"/>
        </w:rPr>
        <w:t xml:space="preserve"> </w:t>
      </w:r>
    </w:p>
    <w:p w:rsidR="00FA7413" w:rsidRDefault="00D712A8">
      <w:pPr>
        <w:spacing w:after="109" w:line="248" w:lineRule="auto"/>
        <w:ind w:left="1078" w:right="64" w:hanging="10"/>
        <w:jc w:val="both"/>
      </w:pPr>
      <w:r>
        <w:rPr>
          <w:rFonts w:ascii="Arial" w:eastAsia="Arial" w:hAnsi="Arial" w:cs="Arial"/>
        </w:rPr>
        <w:t xml:space="preserve">Segundo. - Notificar el presente acuerdo al interesado.” </w:t>
      </w:r>
    </w:p>
    <w:p w:rsidR="00FA7413" w:rsidRDefault="00D712A8">
      <w:pPr>
        <w:spacing w:after="95"/>
        <w:ind w:left="1068"/>
      </w:pPr>
      <w:r>
        <w:rPr>
          <w:rFonts w:ascii="Arial" w:eastAsia="Arial" w:hAnsi="Arial" w:cs="Arial"/>
        </w:rPr>
        <w:t xml:space="preserve"> </w:t>
      </w:r>
    </w:p>
    <w:p w:rsidR="00FA7413" w:rsidRDefault="00D712A8">
      <w:pPr>
        <w:spacing w:after="0" w:line="248" w:lineRule="auto"/>
        <w:ind w:left="355" w:right="62" w:hanging="10"/>
        <w:jc w:val="both"/>
      </w:pPr>
      <w:r>
        <w:rPr>
          <w:rFonts w:ascii="Arial" w:eastAsia="Arial" w:hAnsi="Arial" w:cs="Arial"/>
          <w:b/>
        </w:rPr>
        <w:t>Consta en el expediente propuesta de la Alcaldesa-</w:t>
      </w:r>
      <w:r>
        <w:rPr>
          <w:rFonts w:ascii="Arial" w:eastAsia="Arial" w:hAnsi="Arial" w:cs="Arial"/>
          <w:b/>
        </w:rPr>
        <w:t xml:space="preserve">Presidenta, de fecha 15 de junio de 2021, cuyo tenor literal es el siguiente: </w:t>
      </w:r>
    </w:p>
    <w:p w:rsidR="00FA7413" w:rsidRDefault="00D712A8">
      <w:pPr>
        <w:spacing w:after="100"/>
        <w:ind w:left="1068"/>
      </w:pPr>
      <w:r>
        <w:rPr>
          <w:rFonts w:ascii="Arial" w:eastAsia="Arial" w:hAnsi="Arial" w:cs="Arial"/>
        </w:rPr>
        <w:t xml:space="preserve"> </w:t>
      </w:r>
    </w:p>
    <w:p w:rsidR="00FA7413" w:rsidRDefault="00D712A8">
      <w:pPr>
        <w:spacing w:after="96"/>
        <w:ind w:left="360"/>
      </w:pPr>
      <w:r>
        <w:rPr>
          <w:rFonts w:ascii="Arial" w:eastAsia="Arial" w:hAnsi="Arial" w:cs="Arial"/>
        </w:rPr>
        <w:t xml:space="preserve"> </w:t>
      </w:r>
    </w:p>
    <w:p w:rsidR="00FA7413" w:rsidRDefault="00D712A8">
      <w:pPr>
        <w:tabs>
          <w:tab w:val="center" w:pos="360"/>
          <w:tab w:val="center" w:pos="1068"/>
          <w:tab w:val="center" w:pos="4312"/>
        </w:tabs>
        <w:spacing w:after="112" w:line="248" w:lineRule="auto"/>
      </w:pPr>
      <w:r>
        <w:tab/>
      </w: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b/>
        </w:rPr>
        <w:t xml:space="preserve">PROPUESTA DE LA ALCALDÍA-PRESIDENCIA </w:t>
      </w:r>
      <w:r>
        <w:rPr>
          <w:rFonts w:ascii="Arial" w:eastAsia="Arial" w:hAnsi="Arial" w:cs="Arial"/>
        </w:rPr>
        <w:t xml:space="preserve"> </w:t>
      </w:r>
    </w:p>
    <w:p w:rsidR="00FA7413" w:rsidRDefault="00D712A8">
      <w:pPr>
        <w:spacing w:after="100"/>
        <w:ind w:left="360"/>
      </w:pPr>
      <w:r>
        <w:rPr>
          <w:rFonts w:ascii="Arial" w:eastAsia="Arial" w:hAnsi="Arial" w:cs="Arial"/>
          <w:b/>
        </w:rPr>
        <w:t xml:space="preserve"> </w:t>
      </w:r>
    </w:p>
    <w:p w:rsidR="00FA7413" w:rsidRDefault="00D712A8">
      <w:pPr>
        <w:spacing w:after="112" w:line="248" w:lineRule="auto"/>
        <w:ind w:left="345" w:right="62" w:firstLine="708"/>
        <w:jc w:val="both"/>
      </w:pPr>
      <w:r>
        <w:rPr>
          <w:rFonts w:ascii="Arial" w:eastAsia="Arial" w:hAnsi="Arial" w:cs="Arial"/>
          <w:b/>
        </w:rPr>
        <w:t xml:space="preserve">Consta en el expediente informe jurídico de fecha 14 de junio de 2021 que transcrito literalmente dice: </w:t>
      </w:r>
    </w:p>
    <w:p w:rsidR="00FA7413" w:rsidRDefault="00D712A8">
      <w:pPr>
        <w:spacing w:after="112" w:line="247" w:lineRule="auto"/>
        <w:ind w:left="345" w:right="62" w:firstLine="708"/>
        <w:jc w:val="both"/>
      </w:pPr>
      <w:r>
        <w:rPr>
          <w:rFonts w:ascii="Arial" w:eastAsia="Arial" w:hAnsi="Arial" w:cs="Arial"/>
          <w:i/>
        </w:rPr>
        <w:t xml:space="preserve">Primero. - </w:t>
      </w:r>
      <w:r>
        <w:rPr>
          <w:rFonts w:ascii="Arial" w:eastAsia="Arial" w:hAnsi="Arial" w:cs="Arial"/>
          <w:i/>
        </w:rPr>
        <w:t>Por Acuerdo de la Comisión de Ordenación del Territorio y Medio Ambiente de Canarias (COTMAC) del Gobierno de Canarias de 20 de julio de 2006 y de corrección de errores de 10 de noviembre de 2006 se aprobó definitivamente el Plan General de Ordenación Urba</w:t>
      </w:r>
      <w:r>
        <w:rPr>
          <w:rFonts w:ascii="Arial" w:eastAsia="Arial" w:hAnsi="Arial" w:cs="Arial"/>
          <w:i/>
        </w:rPr>
        <w:t xml:space="preserve">na del municipio de Candelaria (BOC de 8 de mayo y 10 de mayo de 2007) (BOP 17 de mayo de 2007) </w:t>
      </w:r>
    </w:p>
    <w:p w:rsidR="00FA7413" w:rsidRDefault="00D712A8">
      <w:pPr>
        <w:spacing w:after="112" w:line="247" w:lineRule="auto"/>
        <w:ind w:left="345" w:right="62" w:firstLine="708"/>
        <w:jc w:val="both"/>
      </w:pPr>
      <w:r>
        <w:rPr>
          <w:rFonts w:ascii="Arial" w:eastAsia="Arial" w:hAnsi="Arial" w:cs="Arial"/>
          <w:i/>
        </w:rPr>
        <w:t>Segundo. - Que se interpuso recurso contencioso-administrativo contra el acuerdo mencionado en el punto primero por la entidad mercantil Quintans Hernández S.L</w:t>
      </w:r>
      <w:r>
        <w:rPr>
          <w:rFonts w:ascii="Arial" w:eastAsia="Arial" w:hAnsi="Arial" w:cs="Arial"/>
          <w:i/>
        </w:rPr>
        <w:t xml:space="preserve">. </w:t>
      </w:r>
    </w:p>
    <w:p w:rsidR="00FA7413" w:rsidRDefault="00D712A8">
      <w:pPr>
        <w:spacing w:after="112" w:line="247" w:lineRule="auto"/>
        <w:ind w:left="355" w:right="62" w:hanging="10"/>
        <w:jc w:val="both"/>
      </w:pPr>
      <w:r>
        <w:rPr>
          <w:rFonts w:ascii="Arial" w:eastAsia="Arial" w:hAnsi="Arial" w:cs="Arial"/>
          <w:i/>
        </w:rPr>
        <w:t xml:space="preserve"> Tercero. - Que consta en el expediente sentencia que ha remitido Servicios Generales a la Secretaría General con fecha 26 de febrero de 2020: </w:t>
      </w:r>
    </w:p>
    <w:p w:rsidR="00FA7413" w:rsidRDefault="00D712A8">
      <w:pPr>
        <w:spacing w:after="112" w:line="247" w:lineRule="auto"/>
        <w:ind w:left="355" w:right="62" w:hanging="10"/>
        <w:jc w:val="both"/>
      </w:pPr>
      <w:r>
        <w:rPr>
          <w:rFonts w:ascii="Arial" w:eastAsia="Arial" w:hAnsi="Arial" w:cs="Arial"/>
          <w:i/>
        </w:rPr>
        <w:t>Sentencia 123/2009 de 22 de junio. Procedimiento ordinario 114/2007. Sala de lo Contencioso</w:t>
      </w:r>
      <w:r>
        <w:rPr>
          <w:rFonts w:ascii="Arial" w:eastAsia="Arial" w:hAnsi="Arial" w:cs="Arial"/>
          <w:i/>
        </w:rPr>
        <w:t xml:space="preserve">Administrativo del Tribunal Superior de Justicia de Canarias. Sección Segunda. Santa Cruz de Tenerife. </w:t>
      </w:r>
    </w:p>
    <w:p w:rsidR="00FA7413" w:rsidRDefault="00D712A8">
      <w:pPr>
        <w:spacing w:after="112" w:line="247" w:lineRule="auto"/>
        <w:ind w:left="355" w:right="62" w:hanging="10"/>
        <w:jc w:val="both"/>
      </w:pPr>
      <w:r>
        <w:rPr>
          <w:rFonts w:ascii="Arial" w:eastAsia="Arial" w:hAnsi="Arial" w:cs="Arial"/>
          <w:i/>
        </w:rPr>
        <w:t xml:space="preserve">Fallo: Desestimamos el recurso contencioso-administrativo núm 114/2007, sin imposición de costas. </w:t>
      </w:r>
    </w:p>
    <w:p w:rsidR="00FA7413" w:rsidRDefault="00D712A8">
      <w:pPr>
        <w:spacing w:after="98"/>
        <w:ind w:left="360"/>
      </w:pPr>
      <w:r>
        <w:rPr>
          <w:rFonts w:ascii="Arial" w:eastAsia="Arial" w:hAnsi="Arial" w:cs="Arial"/>
          <w:i/>
        </w:rPr>
        <w:t xml:space="preserve"> </w:t>
      </w:r>
    </w:p>
    <w:p w:rsidR="00FA7413" w:rsidRDefault="00D712A8">
      <w:pPr>
        <w:spacing w:after="136" w:line="247" w:lineRule="auto"/>
        <w:ind w:left="355" w:right="62" w:hanging="10"/>
        <w:jc w:val="both"/>
      </w:pPr>
      <w:r>
        <w:rPr>
          <w:rFonts w:ascii="Arial" w:eastAsia="Arial" w:hAnsi="Arial" w:cs="Arial"/>
          <w:i/>
        </w:rPr>
        <w:t>Cuarto. - Que con fecha 7 de junio de 2021 ha tenid</w:t>
      </w:r>
      <w:r>
        <w:rPr>
          <w:rFonts w:ascii="Arial" w:eastAsia="Arial" w:hAnsi="Arial" w:cs="Arial"/>
          <w:i/>
        </w:rPr>
        <w:t xml:space="preserve">o entrada en el Ayuntamiento de Candelaria, el oficio del Gobierno de Canarias que en relación al presente expediente dice: </w:t>
      </w:r>
    </w:p>
    <w:p w:rsidR="00FA7413" w:rsidRDefault="00D712A8">
      <w:pPr>
        <w:spacing w:after="112" w:line="247" w:lineRule="auto"/>
        <w:ind w:left="355" w:right="62" w:hanging="10"/>
        <w:jc w:val="both"/>
      </w:pPr>
      <w:r>
        <w:rPr>
          <w:rFonts w:ascii="Arial" w:eastAsia="Arial" w:hAnsi="Arial" w:cs="Arial"/>
          <w:i/>
        </w:rPr>
        <w:t xml:space="preserve"> “En los casos de las sentencias de los expedientes número 2252/2020, 2280/2020, 2257/2020, 2254/2020, 2284/2020 y 2282/2020 dado q</w:t>
      </w:r>
      <w:r>
        <w:rPr>
          <w:rFonts w:ascii="Arial" w:eastAsia="Arial" w:hAnsi="Arial" w:cs="Arial"/>
          <w:i/>
        </w:rPr>
        <w:t xml:space="preserve">ue se refieren a procedimientos en los que los recursos interpuestos han sido desestimados por considerarse que el acto recurrido es ajustado a derecho, no se requiere de actuación alguna tendente a la ejecución de su fallo. </w:t>
      </w:r>
    </w:p>
    <w:p w:rsidR="00FA7413" w:rsidRDefault="00D712A8">
      <w:pPr>
        <w:spacing w:after="112" w:line="247" w:lineRule="auto"/>
        <w:ind w:left="355" w:right="62" w:hanging="10"/>
        <w:jc w:val="both"/>
      </w:pPr>
      <w:r>
        <w:rPr>
          <w:rFonts w:ascii="Arial" w:eastAsia="Arial" w:hAnsi="Arial" w:cs="Arial"/>
          <w:i/>
        </w:rPr>
        <w:t xml:space="preserve"> La labor de ejecución en esto</w:t>
      </w:r>
      <w:r>
        <w:rPr>
          <w:rFonts w:ascii="Arial" w:eastAsia="Arial" w:hAnsi="Arial" w:cs="Arial"/>
          <w:i/>
        </w:rPr>
        <w:t xml:space="preserve">s casos se reduce a una actuación formal de toma de conocimiento de la sentencia por parte del órgano competente, sin que se requiera de la realización de ninguna otra actividad material de ejecución. </w:t>
      </w:r>
    </w:p>
    <w:p w:rsidR="00FA7413" w:rsidRDefault="00D712A8">
      <w:pPr>
        <w:spacing w:after="112" w:line="247" w:lineRule="auto"/>
        <w:ind w:left="355" w:right="62" w:hanging="10"/>
        <w:jc w:val="both"/>
      </w:pPr>
      <w:r>
        <w:rPr>
          <w:rFonts w:ascii="Arial" w:eastAsia="Arial" w:hAnsi="Arial" w:cs="Arial"/>
          <w:i/>
        </w:rPr>
        <w:t xml:space="preserve"> Dicha actuación ha sido llevada a cabo en la forma ex</w:t>
      </w:r>
      <w:r>
        <w:rPr>
          <w:rFonts w:ascii="Arial" w:eastAsia="Arial" w:hAnsi="Arial" w:cs="Arial"/>
          <w:i/>
        </w:rPr>
        <w:t>puesta en el apartado anterior, por lo que la ejecución de estas sentencias ha de darse por concluida desde el mismo momento en que la Comisión de Ordenación del Territorio y Medio Ambiente de Canarias tomó conocimiento de ellas y lo comunicó al Ayuntamien</w:t>
      </w:r>
      <w:r>
        <w:rPr>
          <w:rFonts w:ascii="Arial" w:eastAsia="Arial" w:hAnsi="Arial" w:cs="Arial"/>
          <w:i/>
        </w:rPr>
        <w:t xml:space="preserve">to”. </w:t>
      </w:r>
    </w:p>
    <w:p w:rsidR="00FA7413" w:rsidRDefault="00D712A8">
      <w:pPr>
        <w:spacing w:after="100"/>
        <w:ind w:left="360"/>
      </w:pPr>
      <w:r>
        <w:rPr>
          <w:noProof/>
        </w:rPr>
        <mc:AlternateContent>
          <mc:Choice Requires="wpg">
            <w:drawing>
              <wp:anchor distT="0" distB="0" distL="114300" distR="114300" simplePos="0" relativeHeight="251696128"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05281" name="Group 205281"/>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5649" name="Rectangle 5649"/>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5650" name="Rectangle 5650"/>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36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5281" style="width:12.7031pt;height:275.586pt;position:absolute;mso-position-horizontal-relative:page;mso-position-horizontal:absolute;margin-left:682.278pt;mso-position-vertical-relative:page;margin-top:536.334pt;" coordsize="1613,34999">
                <v:rect id="Rectangle 5649"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5650"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36 de 180 </w:t>
                        </w:r>
                      </w:p>
                    </w:txbxContent>
                  </v:textbox>
                </v:rect>
                <w10:wrap type="square"/>
              </v:group>
            </w:pict>
          </mc:Fallback>
        </mc:AlternateContent>
      </w:r>
      <w:r>
        <w:rPr>
          <w:rFonts w:ascii="Arial" w:eastAsia="Arial" w:hAnsi="Arial" w:cs="Arial"/>
          <w:i/>
        </w:rPr>
        <w:t xml:space="preserve"> </w:t>
      </w:r>
    </w:p>
    <w:p w:rsidR="00FA7413" w:rsidRDefault="00D712A8">
      <w:pPr>
        <w:spacing w:after="98"/>
        <w:ind w:left="1068"/>
      </w:pPr>
      <w:r>
        <w:rPr>
          <w:rFonts w:ascii="Arial" w:eastAsia="Arial" w:hAnsi="Arial" w:cs="Arial"/>
          <w:i/>
        </w:rPr>
        <w:t xml:space="preserve"> </w:t>
      </w:r>
    </w:p>
    <w:p w:rsidR="00FA7413" w:rsidRDefault="00D712A8">
      <w:pPr>
        <w:spacing w:after="112" w:line="247" w:lineRule="auto"/>
        <w:ind w:left="2497" w:right="62" w:hanging="10"/>
        <w:jc w:val="both"/>
      </w:pPr>
      <w:r>
        <w:rPr>
          <w:rFonts w:ascii="Arial" w:eastAsia="Arial" w:hAnsi="Arial" w:cs="Arial"/>
          <w:i/>
        </w:rPr>
        <w:t xml:space="preserve">               Fundamentos de derecho   </w:t>
      </w:r>
    </w:p>
    <w:p w:rsidR="00FA7413" w:rsidRDefault="00D712A8">
      <w:pPr>
        <w:tabs>
          <w:tab w:val="center" w:pos="360"/>
          <w:tab w:val="right" w:pos="9999"/>
        </w:tabs>
        <w:spacing w:after="112" w:line="247" w:lineRule="auto"/>
      </w:pPr>
      <w:r>
        <w:tab/>
      </w:r>
      <w:r>
        <w:rPr>
          <w:rFonts w:ascii="Arial" w:eastAsia="Arial" w:hAnsi="Arial" w:cs="Arial"/>
          <w:i/>
        </w:rPr>
        <w:t xml:space="preserve"> </w:t>
      </w:r>
      <w:r>
        <w:rPr>
          <w:rFonts w:ascii="Arial" w:eastAsia="Arial" w:hAnsi="Arial" w:cs="Arial"/>
          <w:i/>
        </w:rPr>
        <w:tab/>
      </w:r>
      <w:r>
        <w:rPr>
          <w:rFonts w:ascii="Arial" w:eastAsia="Arial" w:hAnsi="Arial" w:cs="Arial"/>
          <w:i/>
        </w:rPr>
        <w:t xml:space="preserve">Primero. - Es de aplicación lo dispuesto en el artículo 118 de la constitución que establece: </w:t>
      </w:r>
    </w:p>
    <w:p w:rsidR="00FA7413" w:rsidRDefault="00D712A8">
      <w:pPr>
        <w:spacing w:after="112" w:line="247" w:lineRule="auto"/>
        <w:ind w:left="345" w:right="62" w:firstLine="708"/>
        <w:jc w:val="both"/>
      </w:pPr>
      <w:r>
        <w:rPr>
          <w:rFonts w:ascii="Arial" w:eastAsia="Arial" w:hAnsi="Arial" w:cs="Arial"/>
          <w:i/>
        </w:rPr>
        <w:t>Es obligado cumplir las sentencias y demás resoluciones firmes de los Jueces y Tribunales, así como prestar la colaboración requerida por éstos en el curso del p</w:t>
      </w:r>
      <w:r>
        <w:rPr>
          <w:rFonts w:ascii="Arial" w:eastAsia="Arial" w:hAnsi="Arial" w:cs="Arial"/>
          <w:i/>
        </w:rPr>
        <w:t>roceso y en la ejecución de lo resuelto.</w:t>
      </w:r>
      <w:r>
        <w:rPr>
          <w:rFonts w:ascii="Arial" w:eastAsia="Arial" w:hAnsi="Arial" w:cs="Arial"/>
        </w:rPr>
        <w:t xml:space="preserve"> </w:t>
      </w:r>
    </w:p>
    <w:p w:rsidR="00FA7413" w:rsidRDefault="00D712A8">
      <w:pPr>
        <w:spacing w:after="112" w:line="247" w:lineRule="auto"/>
        <w:ind w:left="345" w:right="62" w:firstLine="708"/>
        <w:jc w:val="both"/>
      </w:pPr>
      <w:r>
        <w:rPr>
          <w:rFonts w:ascii="Arial" w:eastAsia="Arial" w:hAnsi="Arial" w:cs="Arial"/>
          <w:i/>
        </w:rPr>
        <w:t xml:space="preserve">Segundo. - Es de aplicación lo dispuesto en el artículo 103.2 de la Ley 29/1998, de 13 de julio, de la Jurisdicción Contencioso-Administrativa que establece: </w:t>
      </w:r>
    </w:p>
    <w:p w:rsidR="00FA7413" w:rsidRDefault="00D712A8">
      <w:pPr>
        <w:spacing w:after="112" w:line="247" w:lineRule="auto"/>
        <w:ind w:left="345" w:right="62" w:firstLine="708"/>
        <w:jc w:val="both"/>
      </w:pPr>
      <w:r>
        <w:rPr>
          <w:rFonts w:ascii="Arial" w:eastAsia="Arial" w:hAnsi="Arial" w:cs="Arial"/>
          <w:i/>
        </w:rPr>
        <w:t xml:space="preserve">2. Las partes están obligadas a cumplir las sentencias </w:t>
      </w:r>
      <w:r>
        <w:rPr>
          <w:rFonts w:ascii="Arial" w:eastAsia="Arial" w:hAnsi="Arial" w:cs="Arial"/>
          <w:i/>
        </w:rPr>
        <w:t>en la forma y términos que en éstas se consignen</w:t>
      </w:r>
      <w:r>
        <w:rPr>
          <w:rFonts w:ascii="Arial" w:eastAsia="Arial" w:hAnsi="Arial" w:cs="Arial"/>
        </w:rPr>
        <w:t xml:space="preserve"> </w:t>
      </w:r>
    </w:p>
    <w:p w:rsidR="00FA7413" w:rsidRDefault="00D712A8">
      <w:pPr>
        <w:spacing w:after="98"/>
        <w:ind w:left="1068"/>
      </w:pPr>
      <w:r>
        <w:rPr>
          <w:rFonts w:ascii="Arial" w:eastAsia="Arial" w:hAnsi="Arial" w:cs="Arial"/>
          <w:i/>
        </w:rPr>
        <w:t xml:space="preserve"> </w:t>
      </w:r>
    </w:p>
    <w:p w:rsidR="00FA7413" w:rsidRDefault="00D712A8">
      <w:pPr>
        <w:tabs>
          <w:tab w:val="center" w:pos="360"/>
          <w:tab w:val="center" w:pos="1068"/>
          <w:tab w:val="center" w:pos="1776"/>
          <w:tab w:val="center" w:pos="2484"/>
          <w:tab w:val="center" w:pos="4619"/>
        </w:tabs>
        <w:spacing w:after="112" w:line="247" w:lineRule="auto"/>
      </w:pPr>
      <w:r>
        <w:tab/>
      </w:r>
      <w:r>
        <w:rPr>
          <w:rFonts w:ascii="Arial" w:eastAsia="Arial" w:hAnsi="Arial" w:cs="Arial"/>
          <w:i/>
        </w:rPr>
        <w:t xml:space="preserve"> </w:t>
      </w:r>
      <w:r>
        <w:rPr>
          <w:rFonts w:ascii="Arial" w:eastAsia="Arial" w:hAnsi="Arial" w:cs="Arial"/>
          <w:i/>
        </w:rPr>
        <w:tab/>
        <w:t xml:space="preserve"> </w:t>
      </w:r>
      <w:r>
        <w:rPr>
          <w:rFonts w:ascii="Arial" w:eastAsia="Arial" w:hAnsi="Arial" w:cs="Arial"/>
          <w:i/>
        </w:rPr>
        <w:tab/>
        <w:t xml:space="preserve"> </w:t>
      </w:r>
      <w:r>
        <w:rPr>
          <w:rFonts w:ascii="Arial" w:eastAsia="Arial" w:hAnsi="Arial" w:cs="Arial"/>
          <w:i/>
        </w:rPr>
        <w:tab/>
        <w:t xml:space="preserve"> </w:t>
      </w:r>
      <w:r>
        <w:rPr>
          <w:rFonts w:ascii="Arial" w:eastAsia="Arial" w:hAnsi="Arial" w:cs="Arial"/>
          <w:i/>
        </w:rPr>
        <w:tab/>
        <w:t xml:space="preserve">PROPUESTA DE ACUERDO </w:t>
      </w:r>
    </w:p>
    <w:p w:rsidR="00FA7413" w:rsidRDefault="00D712A8">
      <w:pPr>
        <w:spacing w:after="112" w:line="247" w:lineRule="auto"/>
        <w:ind w:left="1078" w:right="62" w:hanging="10"/>
        <w:jc w:val="both"/>
      </w:pPr>
      <w:r>
        <w:rPr>
          <w:rFonts w:ascii="Arial" w:eastAsia="Arial" w:hAnsi="Arial" w:cs="Arial"/>
          <w:i/>
        </w:rPr>
        <w:t xml:space="preserve">Por lo expuesto se eleva la siguiente propuesta al Pleno: </w:t>
      </w:r>
    </w:p>
    <w:p w:rsidR="00FA7413" w:rsidRDefault="00D712A8">
      <w:pPr>
        <w:spacing w:after="100"/>
        <w:ind w:left="360"/>
      </w:pPr>
      <w:r>
        <w:rPr>
          <w:rFonts w:ascii="Arial" w:eastAsia="Arial" w:hAnsi="Arial" w:cs="Arial"/>
          <w:i/>
        </w:rPr>
        <w:t xml:space="preserve"> </w:t>
      </w:r>
    </w:p>
    <w:p w:rsidR="00FA7413" w:rsidRDefault="00D712A8">
      <w:pPr>
        <w:spacing w:after="112" w:line="247" w:lineRule="auto"/>
        <w:ind w:left="345" w:right="62" w:firstLine="708"/>
        <w:jc w:val="both"/>
      </w:pPr>
      <w:r>
        <w:rPr>
          <w:rFonts w:ascii="Arial" w:eastAsia="Arial" w:hAnsi="Arial" w:cs="Arial"/>
          <w:i/>
        </w:rPr>
        <w:t>Primero. - Tomar conocimiento de la Sentencia de 22 de junio de 2009 (Procedimiento ordinario 114/2007) de la Sa</w:t>
      </w:r>
      <w:r>
        <w:rPr>
          <w:rFonts w:ascii="Arial" w:eastAsia="Arial" w:hAnsi="Arial" w:cs="Arial"/>
          <w:i/>
        </w:rPr>
        <w:t>la de lo Contencioso-Administrativo del Tribunal Superior de Justicia de Canarias (Sección Segunda. Santa Cruz de Tenerife) por la que se desestima el recurso interpuesto por Quintans y Hernández S. L., contra el acuerdo de la Comisión de Ordenación del Te</w:t>
      </w:r>
      <w:r>
        <w:rPr>
          <w:rFonts w:ascii="Arial" w:eastAsia="Arial" w:hAnsi="Arial" w:cs="Arial"/>
          <w:i/>
        </w:rPr>
        <w:t>rritorio y Medio Ambiente de Canarias (COTMAC) del Gobierno de Canarias de 20 de julio de 2006 y de corrección de errores de 10 de noviembre de 2006 se aprobó definitivamente el Plan General de Ordenación Urbana del municipio de Candelaria (BOC de 8 de may</w:t>
      </w:r>
      <w:r>
        <w:rPr>
          <w:rFonts w:ascii="Arial" w:eastAsia="Arial" w:hAnsi="Arial" w:cs="Arial"/>
          <w:i/>
        </w:rPr>
        <w:t xml:space="preserve">o y 10 de mayo de 2007). </w:t>
      </w:r>
    </w:p>
    <w:p w:rsidR="00FA7413" w:rsidRDefault="00D712A8">
      <w:pPr>
        <w:spacing w:after="98"/>
        <w:ind w:left="360"/>
      </w:pPr>
      <w:r>
        <w:rPr>
          <w:rFonts w:ascii="Arial" w:eastAsia="Arial" w:hAnsi="Arial" w:cs="Arial"/>
          <w:i/>
        </w:rPr>
        <w:t xml:space="preserve"> </w:t>
      </w:r>
    </w:p>
    <w:p w:rsidR="00FA7413" w:rsidRDefault="00D712A8">
      <w:pPr>
        <w:spacing w:after="112" w:line="247" w:lineRule="auto"/>
        <w:ind w:left="1078" w:right="62" w:hanging="10"/>
        <w:jc w:val="both"/>
      </w:pPr>
      <w:r>
        <w:rPr>
          <w:rFonts w:ascii="Arial" w:eastAsia="Arial" w:hAnsi="Arial" w:cs="Arial"/>
          <w:i/>
        </w:rPr>
        <w:t xml:space="preserve">Segundo. - Notificar el presente acuerdo al interesado. </w:t>
      </w:r>
    </w:p>
    <w:p w:rsidR="00FA7413" w:rsidRDefault="00D712A8">
      <w:pPr>
        <w:spacing w:after="95"/>
        <w:ind w:left="360"/>
      </w:pPr>
      <w:r>
        <w:rPr>
          <w:rFonts w:ascii="Arial" w:eastAsia="Arial" w:hAnsi="Arial" w:cs="Arial"/>
        </w:rPr>
        <w:t xml:space="preserve"> </w:t>
      </w:r>
    </w:p>
    <w:p w:rsidR="00FA7413" w:rsidRDefault="00D712A8">
      <w:pPr>
        <w:spacing w:after="112" w:line="248" w:lineRule="auto"/>
        <w:ind w:left="355" w:right="62" w:hanging="10"/>
        <w:jc w:val="both"/>
      </w:pPr>
      <w:r>
        <w:rPr>
          <w:rFonts w:ascii="Arial" w:eastAsia="Arial" w:hAnsi="Arial" w:cs="Arial"/>
          <w:b/>
        </w:rPr>
        <w:t xml:space="preserve">Esta Alcaldía-Presidencia, eleva al Pleno de la Corporación la siguiente propuesta: </w:t>
      </w:r>
    </w:p>
    <w:p w:rsidR="00FA7413" w:rsidRDefault="00D712A8">
      <w:pPr>
        <w:spacing w:after="112" w:line="248" w:lineRule="auto"/>
        <w:ind w:left="345" w:right="62" w:firstLine="708"/>
        <w:jc w:val="both"/>
      </w:pPr>
      <w:r>
        <w:rPr>
          <w:rFonts w:ascii="Arial" w:eastAsia="Arial" w:hAnsi="Arial" w:cs="Arial"/>
          <w:b/>
        </w:rPr>
        <w:t xml:space="preserve">Primero. - </w:t>
      </w:r>
      <w:r>
        <w:rPr>
          <w:rFonts w:ascii="Arial" w:eastAsia="Arial" w:hAnsi="Arial" w:cs="Arial"/>
          <w:b/>
        </w:rPr>
        <w:t>Tomar conocimiento de la Sentencia de 22 de junio de 2009 (Procedimiento ordinario 114/2007) de la Sala de lo Contencioso-Administrativo del Tribunal Superior de Justicia de Canarias (Sección Segunda. Santa Cruz de Tenerife) por la que se desestima el recu</w:t>
      </w:r>
      <w:r>
        <w:rPr>
          <w:rFonts w:ascii="Arial" w:eastAsia="Arial" w:hAnsi="Arial" w:cs="Arial"/>
          <w:b/>
        </w:rPr>
        <w:t>rso interpuesto por Quintans y Hernández S. L., contra el acuerdo de la Comisión de Ordenación del Territorio y Medio Ambiente de Canarias (COTMAC) del Gobierno de Canarias de 20 de julio de 2006 y de corrección de errores de 10 de noviembre de 2006 se apr</w:t>
      </w:r>
      <w:r>
        <w:rPr>
          <w:rFonts w:ascii="Arial" w:eastAsia="Arial" w:hAnsi="Arial" w:cs="Arial"/>
          <w:b/>
        </w:rPr>
        <w:t xml:space="preserve">obó definitivamente el Plan General de Ordenación Urbana del municipio de Candelaria (BOC de 8 de mayo y 10 de mayo de 2007). </w:t>
      </w:r>
    </w:p>
    <w:p w:rsidR="00FA7413" w:rsidRDefault="00D712A8">
      <w:pPr>
        <w:spacing w:after="129"/>
        <w:ind w:left="360"/>
      </w:pPr>
      <w:r>
        <w:rPr>
          <w:rFonts w:ascii="Arial" w:eastAsia="Arial" w:hAnsi="Arial" w:cs="Arial"/>
          <w:b/>
        </w:rPr>
        <w:t xml:space="preserve"> </w:t>
      </w:r>
    </w:p>
    <w:p w:rsidR="00FA7413" w:rsidRDefault="00D712A8">
      <w:pPr>
        <w:spacing w:after="112" w:line="248" w:lineRule="auto"/>
        <w:ind w:left="1078" w:right="62" w:hanging="10"/>
        <w:jc w:val="both"/>
      </w:pPr>
      <w:r>
        <w:rPr>
          <w:rFonts w:ascii="Arial" w:eastAsia="Arial" w:hAnsi="Arial" w:cs="Arial"/>
          <w:b/>
        </w:rPr>
        <w:t xml:space="preserve">Segundo. - Notificar el presente acuerdo al interesado.” </w:t>
      </w:r>
    </w:p>
    <w:p w:rsidR="00FA7413" w:rsidRDefault="00D712A8">
      <w:pPr>
        <w:spacing w:after="100"/>
        <w:ind w:left="1779"/>
      </w:pPr>
      <w:r>
        <w:rPr>
          <w:rFonts w:ascii="Arial" w:eastAsia="Arial" w:hAnsi="Arial" w:cs="Arial"/>
          <w:b/>
        </w:rPr>
        <w:t xml:space="preserve"> </w:t>
      </w:r>
    </w:p>
    <w:p w:rsidR="00FA7413" w:rsidRDefault="00D712A8">
      <w:pPr>
        <w:spacing w:after="95"/>
        <w:ind w:left="1068"/>
      </w:pPr>
      <w:r>
        <w:rPr>
          <w:noProof/>
        </w:rPr>
        <mc:AlternateContent>
          <mc:Choice Requires="wpg">
            <w:drawing>
              <wp:anchor distT="0" distB="0" distL="114300" distR="114300" simplePos="0" relativeHeight="251697152"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05496" name="Group 205496"/>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5760" name="Rectangle 5760"/>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5761" name="Rectangle 5761"/>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37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5496" style="width:12.7031pt;height:275.586pt;position:absolute;mso-position-horizontal-relative:page;mso-position-horizontal:absolute;margin-left:682.278pt;mso-position-vertical-relative:page;margin-top:536.334pt;" coordsize="1613,34999">
                <v:rect id="Rectangle 5760"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5761"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37 de 180 </w:t>
                        </w:r>
                      </w:p>
                    </w:txbxContent>
                  </v:textbox>
                </v:rect>
                <w10:wrap type="square"/>
              </v:group>
            </w:pict>
          </mc:Fallback>
        </mc:AlternateContent>
      </w:r>
      <w:r>
        <w:rPr>
          <w:rFonts w:ascii="Arial" w:eastAsia="Arial" w:hAnsi="Arial" w:cs="Arial"/>
        </w:rPr>
        <w:t xml:space="preserve"> </w:t>
      </w:r>
    </w:p>
    <w:p w:rsidR="00FA7413" w:rsidRDefault="00D712A8">
      <w:pPr>
        <w:spacing w:after="0" w:line="248" w:lineRule="auto"/>
        <w:ind w:left="355" w:right="62" w:hanging="10"/>
        <w:jc w:val="both"/>
      </w:pPr>
      <w:r>
        <w:rPr>
          <w:rFonts w:ascii="Arial" w:eastAsia="Arial" w:hAnsi="Arial" w:cs="Arial"/>
          <w:b/>
        </w:rPr>
        <w:t>DICTAMEN FAVORABLE DE LA COMISIÓN INFORMATIVA DE P.G. URBANÍ</w:t>
      </w:r>
      <w:r>
        <w:rPr>
          <w:rFonts w:ascii="Arial" w:eastAsia="Arial" w:hAnsi="Arial" w:cs="Arial"/>
          <w:b/>
        </w:rPr>
        <w:t xml:space="preserve">STICA Y AMBIENTAL, OBRAS y SERVICIOS PÚBLICOS DE 21 DE JUNIO DE 2021.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 xml:space="preserve">Por el Secretario se procede a dar lectura del oficio de la Secretaría General de 31 de enero de 2020 a Servicios Generales que da origen a la tramitación de estos expedientes que </w:t>
      </w:r>
      <w:r>
        <w:rPr>
          <w:rFonts w:ascii="Arial" w:eastAsia="Arial" w:hAnsi="Arial" w:cs="Arial"/>
          <w:b/>
        </w:rPr>
        <w:t xml:space="preserve">transcrito literalmente dice: </w:t>
      </w:r>
    </w:p>
    <w:p w:rsidR="00FA7413" w:rsidRDefault="00D712A8">
      <w:pPr>
        <w:spacing w:after="0"/>
        <w:ind w:left="360"/>
      </w:pPr>
      <w:r>
        <w:rPr>
          <w:rFonts w:ascii="Arial" w:eastAsia="Arial" w:hAnsi="Arial" w:cs="Arial"/>
          <w:i/>
        </w:rPr>
        <w:t xml:space="preserve"> </w:t>
      </w:r>
    </w:p>
    <w:p w:rsidR="00FA7413" w:rsidRDefault="00D712A8">
      <w:pPr>
        <w:spacing w:after="0" w:line="247" w:lineRule="auto"/>
        <w:ind w:left="355" w:right="62" w:hanging="10"/>
        <w:jc w:val="both"/>
      </w:pPr>
      <w:r>
        <w:rPr>
          <w:rFonts w:ascii="Arial" w:eastAsia="Arial" w:hAnsi="Arial" w:cs="Arial"/>
          <w:i/>
        </w:rPr>
        <w:t>“Visto que según reunión mantenida por la Secretaria General con el Área de Urbanismo el 31 de enero de 2020 se ha puesto de conocimiento de la existencia de sentencias firmes que afectan al Plan General de Ordenación vigente del municipio de Candelaria de</w:t>
      </w:r>
      <w:r>
        <w:rPr>
          <w:rFonts w:ascii="Arial" w:eastAsia="Arial" w:hAnsi="Arial" w:cs="Arial"/>
          <w:i/>
        </w:rPr>
        <w:t xml:space="preserve"> las que no se ha tomado conocimiento por el Pleno de la Corporación y en consecuencia no se han ejecutado llevándolas a puro y debido efecto como exige la Ley 29/1998, de la Jurisdicción Contencioso-Administrativa.  </w:t>
      </w:r>
    </w:p>
    <w:p w:rsidR="00FA7413" w:rsidRDefault="00D712A8">
      <w:pPr>
        <w:spacing w:after="0"/>
        <w:ind w:left="360"/>
      </w:pPr>
      <w:r>
        <w:rPr>
          <w:rFonts w:ascii="Arial" w:eastAsia="Arial" w:hAnsi="Arial" w:cs="Arial"/>
        </w:rPr>
        <w:t xml:space="preserve"> </w:t>
      </w:r>
    </w:p>
    <w:p w:rsidR="00FA7413" w:rsidRDefault="00D712A8">
      <w:pPr>
        <w:spacing w:after="0" w:line="247" w:lineRule="auto"/>
        <w:ind w:left="355" w:right="62" w:hanging="10"/>
        <w:jc w:val="both"/>
      </w:pPr>
      <w:r>
        <w:rPr>
          <w:rFonts w:ascii="Arial" w:eastAsia="Arial" w:hAnsi="Arial" w:cs="Arial"/>
          <w:i/>
        </w:rPr>
        <w:t>Visto que ya consta en el expediente</w:t>
      </w:r>
      <w:r>
        <w:rPr>
          <w:rFonts w:ascii="Arial" w:eastAsia="Arial" w:hAnsi="Arial" w:cs="Arial"/>
          <w:i/>
        </w:rPr>
        <w:t xml:space="preserve"> 10989/2019 que la Concejal delegada de Planificación y Gestión Urbanística y Ambiental emitió oficio el 12 de noviembre de 2019 solicitando dichas sentencias a Servicios Generales y de las que no se tiene conocimiento que se han remitido para su toma de c</w:t>
      </w:r>
      <w:r>
        <w:rPr>
          <w:rFonts w:ascii="Arial" w:eastAsia="Arial" w:hAnsi="Arial" w:cs="Arial"/>
          <w:i/>
        </w:rPr>
        <w:t xml:space="preserve">onocimiento por el pleno y su ejecución correspondiente.  </w:t>
      </w:r>
    </w:p>
    <w:p w:rsidR="00FA7413" w:rsidRDefault="00D712A8">
      <w:pPr>
        <w:spacing w:after="0"/>
        <w:ind w:left="360"/>
      </w:pPr>
      <w:r>
        <w:rPr>
          <w:rFonts w:ascii="Arial" w:eastAsia="Arial" w:hAnsi="Arial" w:cs="Arial"/>
        </w:rPr>
        <w:t xml:space="preserve"> </w:t>
      </w:r>
    </w:p>
    <w:p w:rsidR="00FA7413" w:rsidRDefault="00D712A8">
      <w:pPr>
        <w:spacing w:after="0" w:line="247" w:lineRule="auto"/>
        <w:ind w:left="355" w:right="62" w:hanging="10"/>
        <w:jc w:val="both"/>
      </w:pPr>
      <w:r>
        <w:rPr>
          <w:rFonts w:ascii="Arial" w:eastAsia="Arial" w:hAnsi="Arial" w:cs="Arial"/>
          <w:i/>
        </w:rPr>
        <w:t>Se le solicita al Departamento de Servicios Generales, Contratación y Bienes que en el período improrrogable comprendido desde el 3 al 28 de febrero de 2020 remita a Secretaría General debidament</w:t>
      </w:r>
      <w:r>
        <w:rPr>
          <w:rFonts w:ascii="Arial" w:eastAsia="Arial" w:hAnsi="Arial" w:cs="Arial"/>
          <w:i/>
        </w:rPr>
        <w:t>e ordenados y clasificados con un oficio de remisión, todos los expedientes originales que obren en ese Departamento entre el año 2007 hasta el año 2020 sobre sentencias resultantes de impugnaciones del orden jurisdiccional contencioso-administrativo relat</w:t>
      </w:r>
      <w:r>
        <w:rPr>
          <w:rFonts w:ascii="Arial" w:eastAsia="Arial" w:hAnsi="Arial" w:cs="Arial"/>
          <w:i/>
        </w:rPr>
        <w:t>ivas al Plan General de Ordenación actualmente vigente publicado en el BOP de 17 de mayo de 2007 a los efectos de preparar el expediente con los informes técnicos y jurídicos correspondientes para su toma de conocimiento por el Pleno ordinario de marzo y l</w:t>
      </w:r>
      <w:r>
        <w:rPr>
          <w:rFonts w:ascii="Arial" w:eastAsia="Arial" w:hAnsi="Arial" w:cs="Arial"/>
          <w:i/>
        </w:rPr>
        <w:t>a ejecución y cumplimiento de dichas sentencias”.</w:t>
      </w:r>
      <w:r>
        <w:rPr>
          <w:rFonts w:ascii="Times New Roman" w:eastAsia="Times New Roman" w:hAnsi="Times New Roman" w:cs="Times New Roman"/>
          <w:sz w:val="24"/>
        </w:rPr>
        <w:t xml:space="preserve"> </w:t>
      </w:r>
    </w:p>
    <w:p w:rsidR="00FA7413" w:rsidRDefault="00D712A8">
      <w:pPr>
        <w:spacing w:after="0"/>
        <w:ind w:left="360"/>
      </w:pPr>
      <w:r>
        <w:rPr>
          <w:rFonts w:ascii="Arial" w:eastAsia="Arial" w:hAnsi="Arial" w:cs="Arial"/>
          <w:b/>
          <w:i/>
        </w:rPr>
        <w:t xml:space="preserve"> </w:t>
      </w:r>
    </w:p>
    <w:p w:rsidR="00FA7413" w:rsidRDefault="00D712A8">
      <w:pPr>
        <w:spacing w:after="11" w:line="248" w:lineRule="auto"/>
        <w:ind w:left="355" w:right="62" w:hanging="10"/>
        <w:jc w:val="both"/>
      </w:pPr>
      <w:r>
        <w:rPr>
          <w:rFonts w:ascii="Arial" w:eastAsia="Arial" w:hAnsi="Arial" w:cs="Arial"/>
          <w:b/>
        </w:rPr>
        <w:t xml:space="preserve">Las 7 concejalas presentes tomaron conocimiento: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Los 4 concejales del Grupo Socialista: Doña Hilaria Cecilia Otazo González, Don José Francisco Pinto Ramos, Doña María del Carmen Clemente Díaz y Don O</w:t>
      </w:r>
      <w:r>
        <w:rPr>
          <w:rFonts w:ascii="Arial" w:eastAsia="Arial" w:hAnsi="Arial" w:cs="Arial"/>
        </w:rPr>
        <w:t xml:space="preserve">legario Francisco Alonso Bello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La concejal del Grupo Popular, Doña Raquel Martín Castro.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 xml:space="preserve">La 2 concejalas del Grupo Mixto: Doña Lourdes del Carmen Mondéjar Rondón (SSP)  y Doña Ángela Cruz Perera (CC).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3516" w:hanging="10"/>
        <w:jc w:val="both"/>
      </w:pPr>
      <w:r>
        <w:rPr>
          <w:rFonts w:ascii="Arial" w:eastAsia="Arial" w:hAnsi="Arial" w:cs="Arial"/>
          <w:b/>
        </w:rPr>
        <w:t xml:space="preserve">JUNTA DE PORTAVOCES DE 21 DE JUNIO DE 2021  </w:t>
      </w:r>
      <w:r>
        <w:rPr>
          <w:rFonts w:ascii="Arial" w:eastAsia="Arial" w:hAnsi="Arial" w:cs="Arial"/>
        </w:rPr>
        <w:t xml:space="preserve">Quedó oída.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355" w:right="62" w:hanging="10"/>
        <w:jc w:val="both"/>
      </w:pPr>
      <w:r>
        <w:rPr>
          <w:rFonts w:ascii="Arial" w:eastAsia="Arial" w:hAnsi="Arial" w:cs="Arial"/>
          <w:b/>
        </w:rPr>
        <w:t xml:space="preserve">TOMA DE CONOCIMIENTO EN EL PLENO DE 24 DE JUNIO DE 2021.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355" w:right="64" w:hanging="10"/>
        <w:jc w:val="both"/>
      </w:pPr>
      <w:r>
        <w:rPr>
          <w:rFonts w:ascii="Arial" w:eastAsia="Arial" w:hAnsi="Arial" w:cs="Arial"/>
        </w:rPr>
        <w:t xml:space="preserve">Los 18 concejales presentes tomaron conocimiento: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45" w:right="64" w:firstLine="708"/>
        <w:jc w:val="both"/>
      </w:pPr>
      <w:r>
        <w:rPr>
          <w:noProof/>
        </w:rPr>
        <mc:AlternateContent>
          <mc:Choice Requires="wpg">
            <w:drawing>
              <wp:anchor distT="0" distB="0" distL="114300" distR="114300" simplePos="0" relativeHeight="251698176"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04842" name="Group 204842"/>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5876" name="Rectangle 5876"/>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5877" name="Rectangle 5877"/>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38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4842" style="width:12.7031pt;height:275.586pt;position:absolute;mso-position-horizontal-relative:page;mso-position-horizontal:absolute;margin-left:682.278pt;mso-position-vertical-relative:page;margin-top:536.334pt;" coordsize="1613,34999">
                <v:rect id="Rectangle 5876"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5877"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38 de 180 </w:t>
                        </w:r>
                      </w:p>
                    </w:txbxContent>
                  </v:textbox>
                </v:rect>
                <w10:wrap type="square"/>
              </v:group>
            </w:pict>
          </mc:Fallback>
        </mc:AlternateContent>
      </w:r>
      <w:r>
        <w:rPr>
          <w:rFonts w:ascii="Arial" w:eastAsia="Arial" w:hAnsi="Arial" w:cs="Arial"/>
        </w:rPr>
        <w:t>11 concejales del Grupo Socialista: Doña María Concepción Brito Núñez, Don Jorge Baute Delgado, Doña Olivia Concepción Pérez Díaz, Don José Francisco Pinto Ramos,</w:t>
      </w:r>
      <w:r>
        <w:rPr>
          <w:rFonts w:ascii="Arial" w:eastAsia="Arial" w:hAnsi="Arial" w:cs="Arial"/>
        </w:rPr>
        <w:t xml:space="preserve"> Doña Hilaria </w:t>
      </w:r>
    </w:p>
    <w:p w:rsidR="00FA7413" w:rsidRDefault="00D712A8">
      <w:pPr>
        <w:spacing w:after="109" w:line="248" w:lineRule="auto"/>
        <w:ind w:left="355" w:right="64" w:hanging="10"/>
        <w:jc w:val="both"/>
      </w:pPr>
      <w:r>
        <w:rPr>
          <w:rFonts w:ascii="Arial" w:eastAsia="Arial" w:hAnsi="Arial" w:cs="Arial"/>
        </w:rPr>
        <w:t xml:space="preserve">Cecilia Otazo González, Don Airam Pérez Chinea, Doña Margarita Eva Tendero Barroso, Don Manuel Alberto González Pestano, Doña María del Carmen Clemente Díaz, Don Olegario Francisco Alonso Bello y Don Reinaldo José Triviño Blanco. </w:t>
      </w:r>
    </w:p>
    <w:p w:rsidR="00FA7413" w:rsidRDefault="00D712A8">
      <w:pPr>
        <w:spacing w:after="109" w:line="248" w:lineRule="auto"/>
        <w:ind w:left="345" w:right="64" w:firstLine="708"/>
        <w:jc w:val="both"/>
      </w:pPr>
      <w:r>
        <w:rPr>
          <w:rFonts w:ascii="Arial" w:eastAsia="Arial" w:hAnsi="Arial" w:cs="Arial"/>
        </w:rPr>
        <w:t xml:space="preserve">3 concejales del Grupo Popular: Don Andrés Rodríguez Delgado, Don Jacobo López Fariña y Doña Raquel Martín Castro. </w:t>
      </w:r>
    </w:p>
    <w:p w:rsidR="00FA7413" w:rsidRDefault="00D712A8">
      <w:pPr>
        <w:spacing w:after="109" w:line="248" w:lineRule="auto"/>
        <w:ind w:left="345" w:right="64" w:firstLine="708"/>
        <w:jc w:val="both"/>
      </w:pPr>
      <w:r>
        <w:rPr>
          <w:rFonts w:ascii="Arial" w:eastAsia="Arial" w:hAnsi="Arial" w:cs="Arial"/>
        </w:rPr>
        <w:t>3 de los concejales del Grupo Mixto: Don Antonio Delgado García y Doña Lourdes del Carmen Mondéjar Rondón (SSP) y  Doña Ángela Cruz Perera (</w:t>
      </w:r>
      <w:r>
        <w:rPr>
          <w:rFonts w:ascii="Arial" w:eastAsia="Arial" w:hAnsi="Arial" w:cs="Arial"/>
        </w:rPr>
        <w:t xml:space="preserve">CC). </w:t>
      </w:r>
    </w:p>
    <w:p w:rsidR="00FA7413" w:rsidRDefault="00D712A8">
      <w:pPr>
        <w:spacing w:after="109" w:line="248" w:lineRule="auto"/>
        <w:ind w:left="1078" w:right="64" w:hanging="10"/>
        <w:jc w:val="both"/>
      </w:pPr>
      <w:r>
        <w:rPr>
          <w:rFonts w:ascii="Arial" w:eastAsia="Arial" w:hAnsi="Arial" w:cs="Arial"/>
        </w:rPr>
        <w:t xml:space="preserve">1 de la concejal del Grupo Mixto (VxC): Doña Alicia Mercedes Marrero Meneses. </w:t>
      </w:r>
    </w:p>
    <w:p w:rsidR="00FA7413" w:rsidRDefault="00D712A8">
      <w:pPr>
        <w:spacing w:after="95"/>
        <w:ind w:left="1068"/>
      </w:pPr>
      <w:r>
        <w:rPr>
          <w:rFonts w:ascii="Arial" w:eastAsia="Arial" w:hAnsi="Arial" w:cs="Arial"/>
        </w:rPr>
        <w:t xml:space="preserve"> </w:t>
      </w:r>
    </w:p>
    <w:p w:rsidR="00FA7413" w:rsidRDefault="00D712A8">
      <w:pPr>
        <w:spacing w:after="0"/>
        <w:ind w:left="1013" w:right="855" w:hanging="10"/>
        <w:jc w:val="center"/>
      </w:pPr>
      <w:r>
        <w:rPr>
          <w:rFonts w:ascii="Arial" w:eastAsia="Arial" w:hAnsi="Arial" w:cs="Arial"/>
          <w:b/>
        </w:rPr>
        <w:t xml:space="preserve">ACUERDO DEL PLENO DE 24 DE JUNIO DE 2021. </w:t>
      </w:r>
    </w:p>
    <w:p w:rsidR="00FA7413" w:rsidRDefault="00D712A8">
      <w:pPr>
        <w:spacing w:after="0"/>
        <w:ind w:left="346"/>
        <w:jc w:val="center"/>
      </w:pPr>
      <w:r>
        <w:rPr>
          <w:rFonts w:ascii="Arial" w:eastAsia="Arial" w:hAnsi="Arial" w:cs="Arial"/>
          <w:b/>
        </w:rPr>
        <w:t xml:space="preserve"> </w:t>
      </w:r>
    </w:p>
    <w:p w:rsidR="00FA7413" w:rsidRDefault="00D712A8">
      <w:pPr>
        <w:spacing w:after="142" w:line="248" w:lineRule="auto"/>
        <w:ind w:left="345" w:right="62" w:firstLine="708"/>
        <w:jc w:val="both"/>
      </w:pPr>
      <w:r>
        <w:rPr>
          <w:rFonts w:ascii="Arial" w:eastAsia="Arial" w:hAnsi="Arial" w:cs="Arial"/>
          <w:b/>
        </w:rPr>
        <w:t>Primero. - Tomar conocimiento de la Sentencia de 22 de junio de 2009 (Procedimiento ordinario 114/2007) de la Sala de lo Con</w:t>
      </w:r>
      <w:r>
        <w:rPr>
          <w:rFonts w:ascii="Arial" w:eastAsia="Arial" w:hAnsi="Arial" w:cs="Arial"/>
          <w:b/>
        </w:rPr>
        <w:t>tencioso-Administrativo del Tribunal Superior de Justicia de Canarias (Sección Segunda. Santa Cruz de Tenerife) por la que se desestima el recurso interpuesto por Quintans y Hernández S. L., contra el acuerdo de la Comisión de Ordenación del Territorio y M</w:t>
      </w:r>
      <w:r>
        <w:rPr>
          <w:rFonts w:ascii="Arial" w:eastAsia="Arial" w:hAnsi="Arial" w:cs="Arial"/>
          <w:b/>
        </w:rPr>
        <w:t>edio Ambiente de Canarias (COTMAC) del Gobierno de Canarias de 20 de julio de 2006 y de corrección de errores de 10 de noviembre de 2006 se aprobó definitivamente el Plan General de Ordenación Urbana del municipio de Candelaria (BOC de 8 de mayo y 10 de ma</w:t>
      </w:r>
      <w:r>
        <w:rPr>
          <w:rFonts w:ascii="Arial" w:eastAsia="Arial" w:hAnsi="Arial" w:cs="Arial"/>
          <w:b/>
        </w:rPr>
        <w:t xml:space="preserve">yo de 2007). </w:t>
      </w:r>
    </w:p>
    <w:p w:rsidR="00FA7413" w:rsidRDefault="00D712A8">
      <w:pPr>
        <w:spacing w:after="112" w:line="248" w:lineRule="auto"/>
        <w:ind w:left="1078" w:right="62" w:hanging="10"/>
        <w:jc w:val="both"/>
      </w:pPr>
      <w:r>
        <w:rPr>
          <w:rFonts w:ascii="Arial" w:eastAsia="Arial" w:hAnsi="Arial" w:cs="Arial"/>
          <w:b/>
        </w:rPr>
        <w:t xml:space="preserve">Segundo. - Notificar el presente acuerdo al interesado.” </w:t>
      </w:r>
    </w:p>
    <w:p w:rsidR="00FA7413" w:rsidRDefault="00D712A8">
      <w:pPr>
        <w:spacing w:after="93" w:line="249" w:lineRule="auto"/>
        <w:ind w:left="355" w:right="66" w:hanging="10"/>
        <w:jc w:val="both"/>
      </w:pPr>
      <w:r>
        <w:rPr>
          <w:rFonts w:ascii="Arial" w:eastAsia="Arial" w:hAnsi="Arial" w:cs="Arial"/>
          <w:b/>
          <w:sz w:val="24"/>
        </w:rPr>
        <w:t>7.-</w:t>
      </w:r>
      <w:r>
        <w:rPr>
          <w:rFonts w:ascii="Arial" w:eastAsia="Arial" w:hAnsi="Arial" w:cs="Arial"/>
          <w:sz w:val="24"/>
        </w:rPr>
        <w:t xml:space="preserve"> </w:t>
      </w:r>
      <w:r>
        <w:rPr>
          <w:rFonts w:ascii="Arial" w:eastAsia="Arial" w:hAnsi="Arial" w:cs="Arial"/>
          <w:b/>
          <w:sz w:val="24"/>
        </w:rPr>
        <w:t>Expediente 2254/2020. Toma de conocimiento de la sentencia del Tribunal Superior de Justicia de Canarias de 28 de enero de 2010 por la que se desestima el recurso interpuesto por D</w:t>
      </w:r>
      <w:r>
        <w:rPr>
          <w:rFonts w:ascii="Arial" w:eastAsia="Arial" w:hAnsi="Arial" w:cs="Arial"/>
          <w:b/>
          <w:sz w:val="24"/>
        </w:rPr>
        <w:t>on José Manuel Hernández Herrera contra el PGO de Candelaria.</w:t>
      </w:r>
      <w:r>
        <w:rPr>
          <w:rFonts w:ascii="Arial" w:eastAsia="Arial" w:hAnsi="Arial" w:cs="Arial"/>
          <w:sz w:val="24"/>
        </w:rPr>
        <w:t xml:space="preserve"> </w:t>
      </w:r>
    </w:p>
    <w:p w:rsidR="00FA7413" w:rsidRDefault="00D712A8">
      <w:pPr>
        <w:spacing w:after="100"/>
        <w:ind w:left="360"/>
      </w:pPr>
      <w:r>
        <w:rPr>
          <w:rFonts w:ascii="Arial" w:eastAsia="Arial" w:hAnsi="Arial" w:cs="Arial"/>
          <w:b/>
        </w:rPr>
        <w:t xml:space="preserve"> </w:t>
      </w:r>
    </w:p>
    <w:p w:rsidR="00FA7413" w:rsidRDefault="00D712A8">
      <w:pPr>
        <w:spacing w:after="112" w:line="248" w:lineRule="auto"/>
        <w:ind w:left="355" w:right="62" w:hanging="10"/>
        <w:jc w:val="both"/>
      </w:pPr>
      <w:r>
        <w:rPr>
          <w:rFonts w:ascii="Arial" w:eastAsia="Arial" w:hAnsi="Arial" w:cs="Arial"/>
          <w:b/>
        </w:rPr>
        <w:t xml:space="preserve">Consta en el expediente Informe Jurídico emitido por Don Octavio Manuel Fernández Hernández, que desempeña el puesto de trabajo de Secretario General, de 14 de junio de 2021, </w:t>
      </w:r>
      <w:r>
        <w:rPr>
          <w:rFonts w:ascii="Arial" w:eastAsia="Arial" w:hAnsi="Arial" w:cs="Arial"/>
          <w:b/>
        </w:rPr>
        <w:t>del siguiente tenor literal:</w:t>
      </w:r>
      <w:r>
        <w:rPr>
          <w:rFonts w:ascii="Arial" w:eastAsia="Arial" w:hAnsi="Arial" w:cs="Arial"/>
        </w:rPr>
        <w:t xml:space="preserve"> </w:t>
      </w:r>
    </w:p>
    <w:p w:rsidR="00FA7413" w:rsidRDefault="00D712A8">
      <w:pPr>
        <w:spacing w:after="100"/>
        <w:ind w:left="360"/>
      </w:pPr>
      <w:r>
        <w:rPr>
          <w:rFonts w:ascii="Arial" w:eastAsia="Arial" w:hAnsi="Arial" w:cs="Arial"/>
          <w:b/>
        </w:rPr>
        <w:t xml:space="preserve"> </w:t>
      </w:r>
    </w:p>
    <w:p w:rsidR="00FA7413" w:rsidRDefault="00D712A8">
      <w:pPr>
        <w:spacing w:after="106"/>
        <w:ind w:left="360"/>
      </w:pPr>
      <w:r>
        <w:rPr>
          <w:rFonts w:ascii="Arial" w:eastAsia="Arial" w:hAnsi="Arial" w:cs="Arial"/>
        </w:rPr>
        <w:t xml:space="preserve"> </w:t>
      </w:r>
    </w:p>
    <w:p w:rsidR="00FA7413" w:rsidRDefault="00D712A8">
      <w:pPr>
        <w:pStyle w:val="Ttulo1"/>
        <w:ind w:left="1013" w:right="2305"/>
      </w:pPr>
      <w:r>
        <w:t xml:space="preserve">                     “INFORME JURÍDICO                           </w:t>
      </w:r>
      <w:r>
        <w:rPr>
          <w:b w:val="0"/>
        </w:rPr>
        <w:t xml:space="preserve"> </w:t>
      </w:r>
    </w:p>
    <w:p w:rsidR="00FA7413" w:rsidRDefault="00D712A8">
      <w:pPr>
        <w:spacing w:after="112" w:line="248" w:lineRule="auto"/>
        <w:ind w:left="1078" w:right="62" w:hanging="10"/>
        <w:jc w:val="both"/>
      </w:pPr>
      <w:r>
        <w:rPr>
          <w:rFonts w:ascii="Arial" w:eastAsia="Arial" w:hAnsi="Arial" w:cs="Arial"/>
          <w:b/>
        </w:rPr>
        <w:t>Visto el expediente antedicho, se emite el siguiente informe jurídico:</w:t>
      </w:r>
      <w:r>
        <w:rPr>
          <w:rFonts w:ascii="Arial" w:eastAsia="Arial" w:hAnsi="Arial" w:cs="Arial"/>
        </w:rPr>
        <w:t xml:space="preserve">  </w:t>
      </w:r>
    </w:p>
    <w:p w:rsidR="00FA7413" w:rsidRDefault="00D712A8">
      <w:pPr>
        <w:spacing w:after="112" w:line="248" w:lineRule="auto"/>
        <w:ind w:left="3208" w:right="62" w:hanging="10"/>
        <w:jc w:val="both"/>
      </w:pPr>
      <w:r>
        <w:rPr>
          <w:rFonts w:ascii="Arial" w:eastAsia="Arial" w:hAnsi="Arial" w:cs="Arial"/>
          <w:b/>
        </w:rPr>
        <w:t xml:space="preserve">Antecedentes de hecho   </w:t>
      </w:r>
    </w:p>
    <w:p w:rsidR="00FA7413" w:rsidRDefault="00D712A8">
      <w:pPr>
        <w:spacing w:after="109" w:line="248" w:lineRule="auto"/>
        <w:ind w:left="345" w:right="64" w:firstLine="708"/>
        <w:jc w:val="both"/>
      </w:pPr>
      <w:r>
        <w:rPr>
          <w:rFonts w:ascii="Arial" w:eastAsia="Arial" w:hAnsi="Arial" w:cs="Arial"/>
          <w:b/>
        </w:rPr>
        <w:t xml:space="preserve">Primero. - </w:t>
      </w:r>
      <w:r>
        <w:rPr>
          <w:rFonts w:ascii="Arial" w:eastAsia="Arial" w:hAnsi="Arial" w:cs="Arial"/>
        </w:rPr>
        <w:t>Por Acuerdo de la Comisión de Ordenación del T</w:t>
      </w:r>
      <w:r>
        <w:rPr>
          <w:rFonts w:ascii="Arial" w:eastAsia="Arial" w:hAnsi="Arial" w:cs="Arial"/>
        </w:rPr>
        <w:t>erritorio y Medio Ambiente de Canarias (COTMAC) del Gobierno de Canarias de 20 de julio de 2006 y de corrección de errores de 10 de noviembre de 2006 se aprobó definitivamente el Plan General de Ordenación Urbana del municipio de Candelaria (BOC de 8 de ma</w:t>
      </w:r>
      <w:r>
        <w:rPr>
          <w:rFonts w:ascii="Arial" w:eastAsia="Arial" w:hAnsi="Arial" w:cs="Arial"/>
        </w:rPr>
        <w:t xml:space="preserve">yo y 10 de mayo de 2007) (BOP 17 de mayo de 2007) </w:t>
      </w:r>
    </w:p>
    <w:p w:rsidR="00FA7413" w:rsidRDefault="00D712A8">
      <w:pPr>
        <w:spacing w:after="109" w:line="248" w:lineRule="auto"/>
        <w:ind w:left="345" w:right="64" w:firstLine="708"/>
        <w:jc w:val="both"/>
      </w:pPr>
      <w:r>
        <w:rPr>
          <w:rFonts w:ascii="Arial" w:eastAsia="Arial" w:hAnsi="Arial" w:cs="Arial"/>
          <w:b/>
        </w:rPr>
        <w:t>Segundo. -</w:t>
      </w:r>
      <w:r>
        <w:rPr>
          <w:rFonts w:ascii="Arial" w:eastAsia="Arial" w:hAnsi="Arial" w:cs="Arial"/>
        </w:rPr>
        <w:t xml:space="preserve"> Que se interpuso recurso contencioso-administrativo contra el acuerdo mencionado en el punto primero por Don José Manuel Hernández Herrera. </w:t>
      </w:r>
    </w:p>
    <w:p w:rsidR="00FA7413" w:rsidRDefault="00D712A8">
      <w:pPr>
        <w:spacing w:after="109" w:line="248" w:lineRule="auto"/>
        <w:ind w:left="355" w:right="64" w:hanging="10"/>
        <w:jc w:val="both"/>
      </w:pPr>
      <w:r>
        <w:rPr>
          <w:noProof/>
        </w:rPr>
        <mc:AlternateContent>
          <mc:Choice Requires="wpg">
            <w:drawing>
              <wp:anchor distT="0" distB="0" distL="114300" distR="114300" simplePos="0" relativeHeight="251699200"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196799" name="Group 196799"/>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6060" name="Rectangle 6060"/>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Cód. Validación: 946JAL4TJAGYNDDM76ZM7ZAYZ | Verif</w:t>
                              </w:r>
                              <w:r>
                                <w:rPr>
                                  <w:rFonts w:ascii="Arial" w:eastAsia="Arial" w:hAnsi="Arial" w:cs="Arial"/>
                                  <w:sz w:val="12"/>
                                </w:rPr>
                                <w:t xml:space="preserve">icación: https://candelaria.sedelectronica.es/ </w:t>
                              </w:r>
                            </w:p>
                          </w:txbxContent>
                        </wps:txbx>
                        <wps:bodyPr horzOverflow="overflow" vert="horz" lIns="0" tIns="0" rIns="0" bIns="0" rtlCol="0">
                          <a:noAutofit/>
                        </wps:bodyPr>
                      </wps:wsp>
                      <wps:wsp>
                        <wps:cNvPr id="6061" name="Rectangle 6061"/>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39 de 180 </w:t>
                              </w:r>
                            </w:p>
                          </w:txbxContent>
                        </wps:txbx>
                        <wps:bodyPr horzOverflow="overflow" vert="horz" lIns="0" tIns="0" rIns="0" bIns="0" rtlCol="0">
                          <a:noAutofit/>
                        </wps:bodyPr>
                      </wps:wsp>
                    </wpg:wgp>
                  </a:graphicData>
                </a:graphic>
              </wp:anchor>
            </w:drawing>
          </mc:Choice>
          <mc:Fallback xmlns:a="http://schemas.openxmlformats.org/drawingml/2006/main">
            <w:pict>
              <v:group id="Group 196799" style="width:12.7031pt;height:275.586pt;position:absolute;mso-position-horizontal-relative:page;mso-position-horizontal:absolute;margin-left:682.278pt;mso-position-vertical-relative:page;margin-top:536.334pt;" coordsize="1613,34999">
                <v:rect id="Rectangle 6060"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6061"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39 de 180 </w:t>
                        </w:r>
                      </w:p>
                    </w:txbxContent>
                  </v:textbox>
                </v:rect>
                <w10:wrap type="square"/>
              </v:group>
            </w:pict>
          </mc:Fallback>
        </mc:AlternateContent>
      </w:r>
      <w:r>
        <w:rPr>
          <w:rFonts w:ascii="Arial" w:eastAsia="Arial" w:hAnsi="Arial" w:cs="Arial"/>
          <w:b/>
        </w:rPr>
        <w:t xml:space="preserve"> </w:t>
      </w:r>
      <w:r>
        <w:rPr>
          <w:rFonts w:ascii="Arial" w:eastAsia="Arial" w:hAnsi="Arial" w:cs="Arial"/>
          <w:b/>
        </w:rPr>
        <w:tab/>
        <w:t xml:space="preserve">Tercero. - </w:t>
      </w:r>
      <w:r>
        <w:rPr>
          <w:rFonts w:ascii="Arial" w:eastAsia="Arial" w:hAnsi="Arial" w:cs="Arial"/>
        </w:rPr>
        <w:t xml:space="preserve">Que consta en el expediente sentencia que ha remitido Servicios Generales a la Secretaría General con fecha 26 de febrero de 2020: </w:t>
      </w:r>
    </w:p>
    <w:p w:rsidR="00FA7413" w:rsidRDefault="00D712A8">
      <w:pPr>
        <w:spacing w:after="109" w:line="248" w:lineRule="auto"/>
        <w:ind w:left="355" w:right="64" w:hanging="10"/>
        <w:jc w:val="both"/>
      </w:pPr>
      <w:r>
        <w:rPr>
          <w:rFonts w:ascii="Arial" w:eastAsia="Arial" w:hAnsi="Arial" w:cs="Arial"/>
        </w:rPr>
        <w:t>Sentencia de 28 de enero de 2010. Procedimiento ordinario 108/2007. Sala de lo ContenciosoAdministrativo del Tribunal Superi</w:t>
      </w:r>
      <w:r>
        <w:rPr>
          <w:rFonts w:ascii="Arial" w:eastAsia="Arial" w:hAnsi="Arial" w:cs="Arial"/>
        </w:rPr>
        <w:t xml:space="preserve">or de Justicia de Canarias. Sección Segunda. Santa Cruz de Tenerife. </w:t>
      </w:r>
    </w:p>
    <w:p w:rsidR="00FA7413" w:rsidRDefault="00D712A8">
      <w:pPr>
        <w:spacing w:after="112" w:line="247" w:lineRule="auto"/>
        <w:ind w:left="355" w:right="62" w:hanging="10"/>
        <w:jc w:val="both"/>
      </w:pPr>
      <w:r>
        <w:rPr>
          <w:rFonts w:ascii="Arial" w:eastAsia="Arial" w:hAnsi="Arial" w:cs="Arial"/>
        </w:rPr>
        <w:t>Fallo:</w:t>
      </w:r>
      <w:r>
        <w:rPr>
          <w:rFonts w:ascii="Arial" w:eastAsia="Arial" w:hAnsi="Arial" w:cs="Arial"/>
          <w:i/>
        </w:rPr>
        <w:t xml:space="preserve"> Desestimamos el recurso interpuesto por no ser contrario a derecho el acto impugnado, sin expresa imposición de costas.</w:t>
      </w:r>
      <w:r>
        <w:rPr>
          <w:rFonts w:ascii="Arial" w:eastAsia="Arial" w:hAnsi="Arial" w:cs="Arial"/>
        </w:rPr>
        <w:t xml:space="preserve"> </w:t>
      </w:r>
    </w:p>
    <w:p w:rsidR="00FA7413" w:rsidRDefault="00D712A8">
      <w:pPr>
        <w:spacing w:after="152" w:line="248" w:lineRule="auto"/>
        <w:ind w:left="345" w:right="62" w:firstLine="708"/>
        <w:jc w:val="both"/>
      </w:pPr>
      <w:r>
        <w:rPr>
          <w:rFonts w:ascii="Arial" w:eastAsia="Arial" w:hAnsi="Arial" w:cs="Arial"/>
          <w:b/>
        </w:rPr>
        <w:t xml:space="preserve">Cuarto. - </w:t>
      </w:r>
      <w:r>
        <w:rPr>
          <w:rFonts w:ascii="Arial" w:eastAsia="Arial" w:hAnsi="Arial" w:cs="Arial"/>
          <w:b/>
        </w:rPr>
        <w:t xml:space="preserve">Que con fecha 7 de junio de 2021 ha tenido entrada en el Ayuntamiento de Candelaria, el oficio del Gobierno de Canarias que en relación al presente expediente dice: </w:t>
      </w:r>
    </w:p>
    <w:p w:rsidR="00FA7413" w:rsidRDefault="00D712A8">
      <w:pPr>
        <w:spacing w:after="112" w:line="247" w:lineRule="auto"/>
        <w:ind w:left="355" w:right="62" w:hanging="10"/>
        <w:jc w:val="both"/>
      </w:pPr>
      <w:r>
        <w:rPr>
          <w:rFonts w:ascii="Arial" w:eastAsia="Arial" w:hAnsi="Arial" w:cs="Arial"/>
          <w:b/>
        </w:rPr>
        <w:t xml:space="preserve"> </w:t>
      </w:r>
      <w:r>
        <w:rPr>
          <w:rFonts w:ascii="Arial" w:eastAsia="Arial" w:hAnsi="Arial" w:cs="Arial"/>
          <w:i/>
        </w:rPr>
        <w:t>“En los casos de las sentencias de los expedientes número 2252/2020, 2280/2020, 2257/2020</w:t>
      </w:r>
      <w:r>
        <w:rPr>
          <w:rFonts w:ascii="Arial" w:eastAsia="Arial" w:hAnsi="Arial" w:cs="Arial"/>
          <w:i/>
        </w:rPr>
        <w:t xml:space="preserve">, 2254/2020, 2284/2020 y 2282/2020 dado que se refieren a procedimientos en los que los recursos interpuestos han sido desestimados por considerarse que el acto recurrido es ajustado a derecho, no se requiere de actuación alguna tendente a la ejecución de </w:t>
      </w:r>
      <w:r>
        <w:rPr>
          <w:rFonts w:ascii="Arial" w:eastAsia="Arial" w:hAnsi="Arial" w:cs="Arial"/>
          <w:i/>
        </w:rPr>
        <w:t>su fallo.</w:t>
      </w:r>
      <w:r>
        <w:rPr>
          <w:rFonts w:ascii="Arial" w:eastAsia="Arial" w:hAnsi="Arial" w:cs="Arial"/>
        </w:rPr>
        <w:t xml:space="preserve"> </w:t>
      </w:r>
    </w:p>
    <w:p w:rsidR="00FA7413" w:rsidRDefault="00D712A8">
      <w:pPr>
        <w:spacing w:after="112" w:line="247" w:lineRule="auto"/>
        <w:ind w:left="355" w:right="62" w:hanging="10"/>
        <w:jc w:val="both"/>
      </w:pPr>
      <w:r>
        <w:rPr>
          <w:rFonts w:ascii="Arial" w:eastAsia="Arial" w:hAnsi="Arial" w:cs="Arial"/>
          <w:i/>
        </w:rPr>
        <w:t xml:space="preserve"> La labor de ejecución en estos casos se reduce a una actuación formal de toma de conocimiento de la sentencia por parte del órgano competente, sin que se requiera de la realización de ninguna otra actividad material de ejecución. </w:t>
      </w:r>
    </w:p>
    <w:p w:rsidR="00FA7413" w:rsidRDefault="00D712A8">
      <w:pPr>
        <w:spacing w:after="112" w:line="247" w:lineRule="auto"/>
        <w:ind w:left="355" w:right="62" w:hanging="10"/>
        <w:jc w:val="both"/>
      </w:pPr>
      <w:r>
        <w:rPr>
          <w:rFonts w:ascii="Arial" w:eastAsia="Arial" w:hAnsi="Arial" w:cs="Arial"/>
          <w:i/>
        </w:rPr>
        <w:t xml:space="preserve"> Dicha actuac</w:t>
      </w:r>
      <w:r>
        <w:rPr>
          <w:rFonts w:ascii="Arial" w:eastAsia="Arial" w:hAnsi="Arial" w:cs="Arial"/>
          <w:i/>
        </w:rPr>
        <w:t>ión ha sido llevada a cabo en la forma expuesta en el apartado anterior, por lo que la ejecución de estas sentencias ha de darse por concluida desde el mismo momento en que la Comisión de Ordenación del</w:t>
      </w:r>
      <w:r>
        <w:rPr>
          <w:rFonts w:ascii="Arial" w:eastAsia="Arial" w:hAnsi="Arial" w:cs="Arial"/>
          <w:b/>
          <w:i/>
        </w:rPr>
        <w:t xml:space="preserve"> </w:t>
      </w:r>
      <w:r>
        <w:rPr>
          <w:rFonts w:ascii="Arial" w:eastAsia="Arial" w:hAnsi="Arial" w:cs="Arial"/>
          <w:i/>
        </w:rPr>
        <w:t>Territorio y Medio Ambiente de Canarias tomó conocimi</w:t>
      </w:r>
      <w:r>
        <w:rPr>
          <w:rFonts w:ascii="Arial" w:eastAsia="Arial" w:hAnsi="Arial" w:cs="Arial"/>
          <w:i/>
        </w:rPr>
        <w:t>ento de ellas y lo comunicó al Ayuntamiento”.</w:t>
      </w:r>
      <w:r>
        <w:rPr>
          <w:rFonts w:ascii="Arial" w:eastAsia="Arial" w:hAnsi="Arial" w:cs="Arial"/>
        </w:rPr>
        <w:t xml:space="preserve"> </w:t>
      </w:r>
    </w:p>
    <w:p w:rsidR="00FA7413" w:rsidRDefault="00D712A8">
      <w:pPr>
        <w:spacing w:after="0"/>
        <w:ind w:left="360"/>
      </w:pPr>
      <w:r>
        <w:rPr>
          <w:rFonts w:ascii="Arial" w:eastAsia="Arial" w:hAnsi="Arial" w:cs="Arial"/>
          <w:i/>
        </w:rPr>
        <w:t xml:space="preserve"> </w:t>
      </w:r>
    </w:p>
    <w:p w:rsidR="00FA7413" w:rsidRDefault="00D712A8">
      <w:pPr>
        <w:spacing w:after="112" w:line="248" w:lineRule="auto"/>
        <w:ind w:left="3208" w:right="62" w:hanging="10"/>
        <w:jc w:val="both"/>
      </w:pPr>
      <w:r>
        <w:rPr>
          <w:rFonts w:ascii="Arial" w:eastAsia="Arial" w:hAnsi="Arial" w:cs="Arial"/>
          <w:b/>
        </w:rPr>
        <w:t xml:space="preserve">   Fundamentos de derecho   </w:t>
      </w:r>
    </w:p>
    <w:p w:rsidR="00FA7413" w:rsidRDefault="00D712A8">
      <w:pPr>
        <w:spacing w:after="112" w:line="248" w:lineRule="auto"/>
        <w:ind w:left="355" w:right="62" w:hanging="10"/>
        <w:jc w:val="both"/>
      </w:pPr>
      <w:r>
        <w:rPr>
          <w:rFonts w:ascii="Arial" w:eastAsia="Arial" w:hAnsi="Arial" w:cs="Arial"/>
          <w:b/>
        </w:rPr>
        <w:t xml:space="preserve"> Primero. - Es de aplicación lo dispuesto en el artículo 118 de la constitución que establece: </w:t>
      </w:r>
    </w:p>
    <w:p w:rsidR="00FA7413" w:rsidRDefault="00D712A8">
      <w:pPr>
        <w:spacing w:after="112" w:line="247" w:lineRule="auto"/>
        <w:ind w:left="345" w:right="62" w:firstLine="708"/>
        <w:jc w:val="both"/>
      </w:pPr>
      <w:r>
        <w:rPr>
          <w:rFonts w:ascii="Arial" w:eastAsia="Arial" w:hAnsi="Arial" w:cs="Arial"/>
          <w:i/>
        </w:rPr>
        <w:t>Es obligado cumplir las sentencias y demás resoluciones firmes de los Jueces y Tri</w:t>
      </w:r>
      <w:r>
        <w:rPr>
          <w:rFonts w:ascii="Arial" w:eastAsia="Arial" w:hAnsi="Arial" w:cs="Arial"/>
          <w:i/>
        </w:rPr>
        <w:t>bunales, así como prestar la colaboración requerida por éstos en el curso del proceso y en la ejecución de lo resuelto</w:t>
      </w:r>
      <w:r>
        <w:rPr>
          <w:rFonts w:ascii="Arial" w:eastAsia="Arial" w:hAnsi="Arial" w:cs="Arial"/>
        </w:rPr>
        <w:t xml:space="preserve">. </w:t>
      </w:r>
    </w:p>
    <w:p w:rsidR="00FA7413" w:rsidRDefault="00D712A8">
      <w:pPr>
        <w:spacing w:after="112" w:line="248" w:lineRule="auto"/>
        <w:ind w:left="345" w:right="62" w:firstLine="708"/>
        <w:jc w:val="both"/>
      </w:pPr>
      <w:r>
        <w:rPr>
          <w:rFonts w:ascii="Arial" w:eastAsia="Arial" w:hAnsi="Arial" w:cs="Arial"/>
          <w:b/>
        </w:rPr>
        <w:t>Segundo. - Es de aplicación lo dispuesto en el artículo 103.2 de la Ley 29/1998, de 13 de julio, de la Jurisdicción Contencioso-</w:t>
      </w:r>
      <w:r>
        <w:rPr>
          <w:rFonts w:ascii="Arial" w:eastAsia="Arial" w:hAnsi="Arial" w:cs="Arial"/>
          <w:b/>
        </w:rPr>
        <w:t xml:space="preserve">Administrativa que establece: </w:t>
      </w:r>
    </w:p>
    <w:p w:rsidR="00FA7413" w:rsidRDefault="00D712A8">
      <w:pPr>
        <w:spacing w:after="112" w:line="247" w:lineRule="auto"/>
        <w:ind w:left="345" w:right="62" w:firstLine="708"/>
        <w:jc w:val="both"/>
      </w:pPr>
      <w:r>
        <w:rPr>
          <w:rFonts w:ascii="Arial" w:eastAsia="Arial" w:hAnsi="Arial" w:cs="Arial"/>
          <w:i/>
        </w:rPr>
        <w:t>2. Las partes están obligadas a cumplir las sentencias en la forma y términos que en éstas se consignen</w:t>
      </w:r>
      <w:r>
        <w:rPr>
          <w:rFonts w:ascii="Arial" w:eastAsia="Arial" w:hAnsi="Arial" w:cs="Arial"/>
        </w:rPr>
        <w:t xml:space="preserve"> </w:t>
      </w:r>
    </w:p>
    <w:p w:rsidR="00FA7413" w:rsidRDefault="00D712A8">
      <w:pPr>
        <w:spacing w:after="100"/>
        <w:ind w:left="1068"/>
      </w:pPr>
      <w:r>
        <w:rPr>
          <w:rFonts w:ascii="Arial" w:eastAsia="Arial" w:hAnsi="Arial" w:cs="Arial"/>
          <w:b/>
        </w:rPr>
        <w:t xml:space="preserve"> </w:t>
      </w:r>
    </w:p>
    <w:p w:rsidR="00FA7413" w:rsidRDefault="00D712A8">
      <w:pPr>
        <w:spacing w:after="112" w:line="248" w:lineRule="auto"/>
        <w:ind w:left="3208" w:right="62" w:hanging="10"/>
        <w:jc w:val="both"/>
      </w:pPr>
      <w:r>
        <w:rPr>
          <w:rFonts w:ascii="Arial" w:eastAsia="Arial" w:hAnsi="Arial" w:cs="Arial"/>
          <w:b/>
        </w:rPr>
        <w:t xml:space="preserve"> PROPUESTA DE ACUERDO  </w:t>
      </w:r>
    </w:p>
    <w:p w:rsidR="00FA7413" w:rsidRDefault="00D712A8">
      <w:pPr>
        <w:spacing w:after="100"/>
        <w:ind w:left="3198"/>
      </w:pPr>
      <w:r>
        <w:rPr>
          <w:rFonts w:ascii="Arial" w:eastAsia="Arial" w:hAnsi="Arial" w:cs="Arial"/>
          <w:b/>
        </w:rPr>
        <w:t xml:space="preserve"> </w:t>
      </w:r>
    </w:p>
    <w:p w:rsidR="00FA7413" w:rsidRDefault="00D712A8">
      <w:pPr>
        <w:spacing w:after="101"/>
        <w:ind w:left="1013" w:right="1058" w:hanging="10"/>
        <w:jc w:val="center"/>
      </w:pPr>
      <w:r>
        <w:rPr>
          <w:rFonts w:ascii="Arial" w:eastAsia="Arial" w:hAnsi="Arial" w:cs="Arial"/>
          <w:b/>
        </w:rPr>
        <w:t xml:space="preserve">Por lo expuesto se eleva al Pleno: </w:t>
      </w:r>
    </w:p>
    <w:p w:rsidR="00FA7413" w:rsidRDefault="00D712A8">
      <w:pPr>
        <w:spacing w:after="109" w:line="248" w:lineRule="auto"/>
        <w:ind w:left="345" w:right="64" w:firstLine="708"/>
        <w:jc w:val="both"/>
      </w:pPr>
      <w:r>
        <w:rPr>
          <w:noProof/>
        </w:rPr>
        <mc:AlternateContent>
          <mc:Choice Requires="wpg">
            <w:drawing>
              <wp:anchor distT="0" distB="0" distL="114300" distR="114300" simplePos="0" relativeHeight="251700224"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01951" name="Group 201951"/>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6187" name="Rectangle 6187"/>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Cód. Validación: 946JAL4TJAGYNDDM76ZM7ZAYZ | Verifica</w:t>
                              </w:r>
                              <w:r>
                                <w:rPr>
                                  <w:rFonts w:ascii="Arial" w:eastAsia="Arial" w:hAnsi="Arial" w:cs="Arial"/>
                                  <w:sz w:val="12"/>
                                </w:rPr>
                                <w:t xml:space="preserve">ción: https://candelaria.sedelectronica.es/ </w:t>
                              </w:r>
                            </w:p>
                          </w:txbxContent>
                        </wps:txbx>
                        <wps:bodyPr horzOverflow="overflow" vert="horz" lIns="0" tIns="0" rIns="0" bIns="0" rtlCol="0">
                          <a:noAutofit/>
                        </wps:bodyPr>
                      </wps:wsp>
                      <wps:wsp>
                        <wps:cNvPr id="6188" name="Rectangle 6188"/>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40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1951" style="width:12.7031pt;height:275.586pt;position:absolute;mso-position-horizontal-relative:page;mso-position-horizontal:absolute;margin-left:682.278pt;mso-position-vertical-relative:page;margin-top:536.334pt;" coordsize="1613,34999">
                <v:rect id="Rectangle 6187"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6188"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40 de 180 </w:t>
                        </w:r>
                      </w:p>
                    </w:txbxContent>
                  </v:textbox>
                </v:rect>
                <w10:wrap type="square"/>
              </v:group>
            </w:pict>
          </mc:Fallback>
        </mc:AlternateContent>
      </w:r>
      <w:r>
        <w:rPr>
          <w:rFonts w:ascii="Arial" w:eastAsia="Arial" w:hAnsi="Arial" w:cs="Arial"/>
        </w:rPr>
        <w:t xml:space="preserve">Primero. - Tomar conocimiento de la Sentencia de 28 de enero de 2010 (Procedimiento ordinario 108/2007) de la Sala </w:t>
      </w:r>
      <w:r>
        <w:rPr>
          <w:rFonts w:ascii="Arial" w:eastAsia="Arial" w:hAnsi="Arial" w:cs="Arial"/>
        </w:rPr>
        <w:t xml:space="preserve">de lo Contencioso-Administrativo del Tribunal Superior de Justicia de Canarias (Sección Segunda. Santa Cruz de Tenerife) por la que se desestima el recurso interpuesto por D. José Manuel Hernández Herrera contra el acuerdo de la Comisión de Ordenación del </w:t>
      </w:r>
      <w:r>
        <w:rPr>
          <w:rFonts w:ascii="Arial" w:eastAsia="Arial" w:hAnsi="Arial" w:cs="Arial"/>
        </w:rPr>
        <w:t>Territorio y Medio Ambiente de Canarias (COTMAC) del Gobierno de Canarias de 20 de julio de 2006 y de corrección de errores de 10 de noviembre de 2006 se aprobó definitivamente el Plan General de Ordenación Urbana del municipio de Candelaria (BOC de 8 de m</w:t>
      </w:r>
      <w:r>
        <w:rPr>
          <w:rFonts w:ascii="Arial" w:eastAsia="Arial" w:hAnsi="Arial" w:cs="Arial"/>
        </w:rPr>
        <w:t xml:space="preserve">ayo y 10 de mayo de 2007). </w:t>
      </w:r>
    </w:p>
    <w:p w:rsidR="00FA7413" w:rsidRDefault="00D712A8">
      <w:pPr>
        <w:spacing w:after="101"/>
        <w:ind w:left="360"/>
      </w:pPr>
      <w:r>
        <w:rPr>
          <w:rFonts w:ascii="Arial" w:eastAsia="Arial" w:hAnsi="Arial" w:cs="Arial"/>
        </w:rPr>
        <w:t xml:space="preserve"> </w:t>
      </w:r>
    </w:p>
    <w:p w:rsidR="00FA7413" w:rsidRDefault="00D712A8">
      <w:pPr>
        <w:spacing w:after="109" w:line="248" w:lineRule="auto"/>
        <w:ind w:left="1078" w:right="64" w:hanging="10"/>
        <w:jc w:val="both"/>
      </w:pPr>
      <w:r>
        <w:rPr>
          <w:rFonts w:ascii="Arial" w:eastAsia="Arial" w:hAnsi="Arial" w:cs="Arial"/>
        </w:rPr>
        <w:t xml:space="preserve">Segundo. - Notificar el presente acuerdo al interesado. “ </w:t>
      </w:r>
    </w:p>
    <w:p w:rsidR="00FA7413" w:rsidRDefault="00D712A8">
      <w:pPr>
        <w:spacing w:after="98"/>
        <w:ind w:left="360"/>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 xml:space="preserve">Consta en el expediente propuesta de la Alcaldesa-Presidenta, de fecha 15 de junio de 2021, cuyo tenor literal es el siguiente: </w:t>
      </w:r>
    </w:p>
    <w:p w:rsidR="00FA7413" w:rsidRDefault="00D712A8">
      <w:pPr>
        <w:spacing w:after="100"/>
        <w:ind w:left="360"/>
      </w:pPr>
      <w:r>
        <w:rPr>
          <w:rFonts w:ascii="Arial" w:eastAsia="Arial" w:hAnsi="Arial" w:cs="Arial"/>
          <w:b/>
        </w:rPr>
        <w:t xml:space="preserve"> </w:t>
      </w:r>
    </w:p>
    <w:p w:rsidR="00FA7413" w:rsidRDefault="00D712A8">
      <w:pPr>
        <w:spacing w:after="121"/>
        <w:ind w:left="360"/>
      </w:pPr>
      <w:r>
        <w:rPr>
          <w:rFonts w:ascii="Arial" w:eastAsia="Arial" w:hAnsi="Arial" w:cs="Arial"/>
        </w:rPr>
        <w:t xml:space="preserve"> </w:t>
      </w:r>
    </w:p>
    <w:p w:rsidR="00FA7413" w:rsidRDefault="00D712A8">
      <w:pPr>
        <w:spacing w:after="112" w:line="248" w:lineRule="auto"/>
        <w:ind w:left="1789" w:right="62" w:hanging="10"/>
        <w:jc w:val="both"/>
      </w:pPr>
      <w:r>
        <w:rPr>
          <w:rFonts w:ascii="Arial" w:eastAsia="Arial" w:hAnsi="Arial" w:cs="Arial"/>
          <w:b/>
        </w:rPr>
        <w:t xml:space="preserve">  “PROPUESTA DE LA ALCALDÍA-</w:t>
      </w:r>
      <w:r>
        <w:rPr>
          <w:rFonts w:ascii="Arial" w:eastAsia="Arial" w:hAnsi="Arial" w:cs="Arial"/>
          <w:b/>
        </w:rPr>
        <w:t xml:space="preserve">PRESIDENCIA  </w:t>
      </w:r>
    </w:p>
    <w:p w:rsidR="00FA7413" w:rsidRDefault="00D712A8">
      <w:pPr>
        <w:spacing w:after="112" w:line="248" w:lineRule="auto"/>
        <w:ind w:left="355" w:right="62" w:hanging="10"/>
        <w:jc w:val="both"/>
      </w:pPr>
      <w:r>
        <w:rPr>
          <w:rFonts w:ascii="Arial" w:eastAsia="Arial" w:hAnsi="Arial" w:cs="Arial"/>
          <w:b/>
        </w:rPr>
        <w:t xml:space="preserve">Visto el informe jurídico de 14 de junio de 2021 que transcrito literalmente dice: </w:t>
      </w:r>
    </w:p>
    <w:p w:rsidR="00FA7413" w:rsidRDefault="00D712A8">
      <w:pPr>
        <w:spacing w:after="140"/>
        <w:ind w:left="1068"/>
      </w:pPr>
      <w:r>
        <w:rPr>
          <w:rFonts w:ascii="Arial" w:eastAsia="Arial" w:hAnsi="Arial" w:cs="Arial"/>
          <w:b/>
        </w:rPr>
        <w:t xml:space="preserve"> </w:t>
      </w:r>
    </w:p>
    <w:p w:rsidR="00FA7413" w:rsidRDefault="00D712A8">
      <w:pPr>
        <w:spacing w:after="112" w:line="247" w:lineRule="auto"/>
        <w:ind w:left="3208" w:right="62" w:hanging="10"/>
        <w:jc w:val="both"/>
      </w:pPr>
      <w:r>
        <w:rPr>
          <w:rFonts w:ascii="Arial" w:eastAsia="Arial" w:hAnsi="Arial" w:cs="Arial"/>
          <w:i/>
        </w:rPr>
        <w:t xml:space="preserve">“Antecedentes de hecho   </w:t>
      </w:r>
    </w:p>
    <w:p w:rsidR="00FA7413" w:rsidRDefault="00D712A8">
      <w:pPr>
        <w:spacing w:after="112" w:line="247" w:lineRule="auto"/>
        <w:ind w:left="345" w:right="62" w:firstLine="708"/>
        <w:jc w:val="both"/>
      </w:pPr>
      <w:r>
        <w:rPr>
          <w:rFonts w:ascii="Arial" w:eastAsia="Arial" w:hAnsi="Arial" w:cs="Arial"/>
          <w:i/>
        </w:rPr>
        <w:t xml:space="preserve">Primero. - </w:t>
      </w:r>
      <w:r>
        <w:rPr>
          <w:rFonts w:ascii="Arial" w:eastAsia="Arial" w:hAnsi="Arial" w:cs="Arial"/>
          <w:i/>
        </w:rPr>
        <w:t>Por Acuerdo de la Comisión de Ordenación del Territorio y Medio Ambiente de Canarias (COTMAC) del Gobierno de Canarias de 20 de julio de 2006 y de corrección de errores de 10 de noviembre de 2006 se aprobó definitivamente el Plan General de Ordenación Urba</w:t>
      </w:r>
      <w:r>
        <w:rPr>
          <w:rFonts w:ascii="Arial" w:eastAsia="Arial" w:hAnsi="Arial" w:cs="Arial"/>
          <w:i/>
        </w:rPr>
        <w:t xml:space="preserve">na del municipio de Candelaria (BOC de 8 de mayo y 10 de mayo de 2007) (BOP 17 de mayo de 2007) </w:t>
      </w:r>
    </w:p>
    <w:p w:rsidR="00FA7413" w:rsidRDefault="00D712A8">
      <w:pPr>
        <w:spacing w:after="109" w:line="249" w:lineRule="auto"/>
        <w:ind w:left="10" w:right="61" w:hanging="10"/>
        <w:jc w:val="right"/>
      </w:pPr>
      <w:r>
        <w:rPr>
          <w:rFonts w:ascii="Arial" w:eastAsia="Arial" w:hAnsi="Arial" w:cs="Arial"/>
          <w:i/>
        </w:rPr>
        <w:t xml:space="preserve">Segundo. - Que se interpuso recurso contencioso-administrativo contra el acuerdo mencionado en el punto primero por Don José Manuel Hernández Herrera. </w:t>
      </w:r>
    </w:p>
    <w:p w:rsidR="00FA7413" w:rsidRDefault="00D712A8">
      <w:pPr>
        <w:spacing w:after="112" w:line="247" w:lineRule="auto"/>
        <w:ind w:left="355" w:right="62" w:hanging="10"/>
        <w:jc w:val="both"/>
      </w:pPr>
      <w:r>
        <w:rPr>
          <w:rFonts w:ascii="Arial" w:eastAsia="Arial" w:hAnsi="Arial" w:cs="Arial"/>
          <w:i/>
        </w:rPr>
        <w:t xml:space="preserve"> </w:t>
      </w:r>
      <w:r>
        <w:rPr>
          <w:rFonts w:ascii="Arial" w:eastAsia="Arial" w:hAnsi="Arial" w:cs="Arial"/>
          <w:i/>
        </w:rPr>
        <w:t xml:space="preserve">Tercero. - Que consta en el expediente sentencia que ha remitido Servicios Generales a la Secretaría General con fecha 26 de febrero de 2020: </w:t>
      </w:r>
    </w:p>
    <w:p w:rsidR="00FA7413" w:rsidRDefault="00D712A8">
      <w:pPr>
        <w:spacing w:after="112" w:line="247" w:lineRule="auto"/>
        <w:ind w:left="355" w:right="62" w:hanging="10"/>
        <w:jc w:val="both"/>
      </w:pPr>
      <w:r>
        <w:rPr>
          <w:rFonts w:ascii="Arial" w:eastAsia="Arial" w:hAnsi="Arial" w:cs="Arial"/>
          <w:i/>
        </w:rPr>
        <w:t>Sentencia de 28 de enero de 2010. Procedimiento ordinario 108/2007. Sala de lo ContenciosoAdministrativo del Trib</w:t>
      </w:r>
      <w:r>
        <w:rPr>
          <w:rFonts w:ascii="Arial" w:eastAsia="Arial" w:hAnsi="Arial" w:cs="Arial"/>
          <w:i/>
        </w:rPr>
        <w:t xml:space="preserve">unal Superior de Justicia de Canarias. Sección Segunda. Santa Cruz de Tenerife. </w:t>
      </w:r>
    </w:p>
    <w:p w:rsidR="00FA7413" w:rsidRDefault="00D712A8">
      <w:pPr>
        <w:spacing w:after="112" w:line="247" w:lineRule="auto"/>
        <w:ind w:left="355" w:right="62" w:hanging="10"/>
        <w:jc w:val="both"/>
      </w:pPr>
      <w:r>
        <w:rPr>
          <w:rFonts w:ascii="Arial" w:eastAsia="Arial" w:hAnsi="Arial" w:cs="Arial"/>
          <w:i/>
        </w:rPr>
        <w:t xml:space="preserve">Fallo: Desestimamos el recurso interpuesto por no ser contrario a derecho el acto impugnado, sin expresa imposición de costas. </w:t>
      </w:r>
    </w:p>
    <w:p w:rsidR="00FA7413" w:rsidRDefault="00D712A8">
      <w:pPr>
        <w:spacing w:after="133" w:line="247" w:lineRule="auto"/>
        <w:ind w:left="345" w:right="62" w:firstLine="708"/>
        <w:jc w:val="both"/>
      </w:pPr>
      <w:r>
        <w:rPr>
          <w:rFonts w:ascii="Arial" w:eastAsia="Arial" w:hAnsi="Arial" w:cs="Arial"/>
          <w:i/>
        </w:rPr>
        <w:t>Cuarto. - Que con fecha 7 de junio de 2021 ha t</w:t>
      </w:r>
      <w:r>
        <w:rPr>
          <w:rFonts w:ascii="Arial" w:eastAsia="Arial" w:hAnsi="Arial" w:cs="Arial"/>
          <w:i/>
        </w:rPr>
        <w:t xml:space="preserve">enido entrada en el Ayuntamiento de Candelaria, el oficio del Gobierno de Canarias que en relación al presente expediente dice: </w:t>
      </w:r>
    </w:p>
    <w:p w:rsidR="00FA7413" w:rsidRDefault="00D712A8">
      <w:pPr>
        <w:spacing w:after="112" w:line="247" w:lineRule="auto"/>
        <w:ind w:left="355" w:right="62" w:hanging="10"/>
        <w:jc w:val="both"/>
      </w:pPr>
      <w:r>
        <w:rPr>
          <w:rFonts w:ascii="Arial" w:eastAsia="Arial" w:hAnsi="Arial" w:cs="Arial"/>
          <w:i/>
        </w:rPr>
        <w:t xml:space="preserve"> “En los casos de las sentencias de los expedientes número 2252/2020, 2280/2020, 2257/2020, 2254/2020, 2284/2020 y 2282/2020 da</w:t>
      </w:r>
      <w:r>
        <w:rPr>
          <w:rFonts w:ascii="Arial" w:eastAsia="Arial" w:hAnsi="Arial" w:cs="Arial"/>
          <w:i/>
        </w:rPr>
        <w:t xml:space="preserve">do que se refieren a procedimientos en los que los recursos interpuestos han sido desestimados por considerarse que el acto recurrido es ajustado a derecho, no se requiere de actuación alguna tendente a la ejecución de su fallo. </w:t>
      </w:r>
    </w:p>
    <w:p w:rsidR="00FA7413" w:rsidRDefault="00D712A8">
      <w:pPr>
        <w:spacing w:after="112" w:line="247" w:lineRule="auto"/>
        <w:ind w:left="355" w:right="62" w:hanging="10"/>
        <w:jc w:val="both"/>
      </w:pPr>
      <w:r>
        <w:rPr>
          <w:rFonts w:ascii="Arial" w:eastAsia="Arial" w:hAnsi="Arial" w:cs="Arial"/>
          <w:i/>
        </w:rPr>
        <w:t xml:space="preserve"> La labor de ejecución en </w:t>
      </w:r>
      <w:r>
        <w:rPr>
          <w:rFonts w:ascii="Arial" w:eastAsia="Arial" w:hAnsi="Arial" w:cs="Arial"/>
          <w:i/>
        </w:rPr>
        <w:t xml:space="preserve">estos casos se reduce a una actuación formal de toma de conocimiento de la sentencia por parte del órgano competente, sin que se requiera de la realización de ninguna otra actividad material de ejecución. </w:t>
      </w:r>
    </w:p>
    <w:p w:rsidR="00FA7413" w:rsidRDefault="00D712A8">
      <w:pPr>
        <w:spacing w:after="112" w:line="247" w:lineRule="auto"/>
        <w:ind w:left="355" w:right="62" w:hanging="10"/>
        <w:jc w:val="both"/>
      </w:pPr>
      <w:r>
        <w:rPr>
          <w:noProof/>
        </w:rPr>
        <mc:AlternateContent>
          <mc:Choice Requires="wpg">
            <w:drawing>
              <wp:anchor distT="0" distB="0" distL="114300" distR="114300" simplePos="0" relativeHeight="251701248"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02292" name="Group 202292"/>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6307" name="Rectangle 6307"/>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Cód. Validación: 946JAL4TJAGYNDDM76ZM7ZAYZ | Ve</w:t>
                              </w:r>
                              <w:r>
                                <w:rPr>
                                  <w:rFonts w:ascii="Arial" w:eastAsia="Arial" w:hAnsi="Arial" w:cs="Arial"/>
                                  <w:sz w:val="12"/>
                                </w:rPr>
                                <w:t xml:space="preserve">rificación: https://candelaria.sedelectronica.es/ </w:t>
                              </w:r>
                            </w:p>
                          </w:txbxContent>
                        </wps:txbx>
                        <wps:bodyPr horzOverflow="overflow" vert="horz" lIns="0" tIns="0" rIns="0" bIns="0" rtlCol="0">
                          <a:noAutofit/>
                        </wps:bodyPr>
                      </wps:wsp>
                      <wps:wsp>
                        <wps:cNvPr id="6308" name="Rectangle 6308"/>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41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2292" style="width:12.7031pt;height:275.586pt;position:absolute;mso-position-horizontal-relative:page;mso-position-horizontal:absolute;margin-left:682.278pt;mso-position-vertical-relative:page;margin-top:536.334pt;" coordsize="1613,34999">
                <v:rect id="Rectangle 6307"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6308"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41 de 180 </w:t>
                        </w:r>
                      </w:p>
                    </w:txbxContent>
                  </v:textbox>
                </v:rect>
                <w10:wrap type="square"/>
              </v:group>
            </w:pict>
          </mc:Fallback>
        </mc:AlternateContent>
      </w:r>
      <w:r>
        <w:rPr>
          <w:rFonts w:ascii="Arial" w:eastAsia="Arial" w:hAnsi="Arial" w:cs="Arial"/>
          <w:i/>
        </w:rPr>
        <w:t xml:space="preserve"> Dicha actuación ha sido llevada a cabo en la forma expuesta en el apartado anterior, por lo que la ejecución</w:t>
      </w:r>
      <w:r>
        <w:rPr>
          <w:rFonts w:ascii="Arial" w:eastAsia="Arial" w:hAnsi="Arial" w:cs="Arial"/>
          <w:i/>
        </w:rPr>
        <w:t xml:space="preserve"> de estas sentencias ha de darse por concluida desde el mismo momento en que la Comisión de Ordenación del Territorio y Medio Ambiente de Canarias tomó conocimiento de ellas y lo comunicó al Ayuntamiento”. </w:t>
      </w:r>
    </w:p>
    <w:p w:rsidR="00FA7413" w:rsidRDefault="00D712A8">
      <w:pPr>
        <w:spacing w:after="98"/>
        <w:ind w:left="360"/>
      </w:pPr>
      <w:r>
        <w:rPr>
          <w:rFonts w:ascii="Arial" w:eastAsia="Arial" w:hAnsi="Arial" w:cs="Arial"/>
          <w:i/>
        </w:rPr>
        <w:t xml:space="preserve"> </w:t>
      </w:r>
    </w:p>
    <w:p w:rsidR="00FA7413" w:rsidRDefault="00D712A8">
      <w:pPr>
        <w:spacing w:after="112" w:line="247" w:lineRule="auto"/>
        <w:ind w:left="3208" w:right="62" w:hanging="10"/>
        <w:jc w:val="both"/>
      </w:pPr>
      <w:r>
        <w:rPr>
          <w:rFonts w:ascii="Arial" w:eastAsia="Arial" w:hAnsi="Arial" w:cs="Arial"/>
          <w:i/>
        </w:rPr>
        <w:t xml:space="preserve">Fundamentos de derecho   </w:t>
      </w:r>
    </w:p>
    <w:p w:rsidR="00FA7413" w:rsidRDefault="00D712A8">
      <w:pPr>
        <w:tabs>
          <w:tab w:val="center" w:pos="360"/>
          <w:tab w:val="right" w:pos="9999"/>
        </w:tabs>
        <w:spacing w:after="112" w:line="247" w:lineRule="auto"/>
      </w:pPr>
      <w:r>
        <w:tab/>
      </w:r>
      <w:r>
        <w:rPr>
          <w:rFonts w:ascii="Arial" w:eastAsia="Arial" w:hAnsi="Arial" w:cs="Arial"/>
          <w:i/>
        </w:rPr>
        <w:t xml:space="preserve"> </w:t>
      </w:r>
      <w:r>
        <w:rPr>
          <w:rFonts w:ascii="Arial" w:eastAsia="Arial" w:hAnsi="Arial" w:cs="Arial"/>
          <w:i/>
        </w:rPr>
        <w:tab/>
        <w:t xml:space="preserve">Primero. - </w:t>
      </w:r>
      <w:r>
        <w:rPr>
          <w:rFonts w:ascii="Arial" w:eastAsia="Arial" w:hAnsi="Arial" w:cs="Arial"/>
          <w:i/>
        </w:rPr>
        <w:t xml:space="preserve">Es de aplicación lo dispuesto en el artículo 118 de la constitución que establece: </w:t>
      </w:r>
    </w:p>
    <w:p w:rsidR="00FA7413" w:rsidRDefault="00D712A8">
      <w:pPr>
        <w:spacing w:after="112" w:line="247" w:lineRule="auto"/>
        <w:ind w:left="345" w:right="62" w:firstLine="708"/>
        <w:jc w:val="both"/>
      </w:pPr>
      <w:r>
        <w:rPr>
          <w:rFonts w:ascii="Arial" w:eastAsia="Arial" w:hAnsi="Arial" w:cs="Arial"/>
          <w:i/>
        </w:rPr>
        <w:t>Es obligado cumplir las sentencias y demás resoluciones firmes de los Jueces y Tribunales, así como prestar la colaboración requerida por éstos en el curso del proceso y en</w:t>
      </w:r>
      <w:r>
        <w:rPr>
          <w:rFonts w:ascii="Arial" w:eastAsia="Arial" w:hAnsi="Arial" w:cs="Arial"/>
          <w:i/>
        </w:rPr>
        <w:t xml:space="preserve"> la ejecución de lo resuelto.</w:t>
      </w:r>
      <w:r>
        <w:rPr>
          <w:rFonts w:ascii="Arial" w:eastAsia="Arial" w:hAnsi="Arial" w:cs="Arial"/>
        </w:rPr>
        <w:t xml:space="preserve"> </w:t>
      </w:r>
    </w:p>
    <w:p w:rsidR="00FA7413" w:rsidRDefault="00D712A8">
      <w:pPr>
        <w:spacing w:after="112" w:line="247" w:lineRule="auto"/>
        <w:ind w:left="345" w:right="62" w:firstLine="708"/>
        <w:jc w:val="both"/>
      </w:pPr>
      <w:r>
        <w:rPr>
          <w:rFonts w:ascii="Arial" w:eastAsia="Arial" w:hAnsi="Arial" w:cs="Arial"/>
          <w:i/>
        </w:rPr>
        <w:t xml:space="preserve">Segundo. - Es de aplicación lo dispuesto en el artículo 103.2 de la Ley 29/1998, de 13 de julio, de la Jurisdicción Contencioso-Administrativa que establece: </w:t>
      </w:r>
    </w:p>
    <w:p w:rsidR="00FA7413" w:rsidRDefault="00D712A8">
      <w:pPr>
        <w:spacing w:after="112" w:line="247" w:lineRule="auto"/>
        <w:ind w:left="345" w:right="62" w:firstLine="708"/>
        <w:jc w:val="both"/>
      </w:pPr>
      <w:r>
        <w:rPr>
          <w:rFonts w:ascii="Arial" w:eastAsia="Arial" w:hAnsi="Arial" w:cs="Arial"/>
          <w:i/>
        </w:rPr>
        <w:t>2. Las partes están obligadas a cumplir las sentencias en la forma</w:t>
      </w:r>
      <w:r>
        <w:rPr>
          <w:rFonts w:ascii="Arial" w:eastAsia="Arial" w:hAnsi="Arial" w:cs="Arial"/>
          <w:i/>
        </w:rPr>
        <w:t xml:space="preserve"> y términos que en éstas se consignen</w:t>
      </w:r>
      <w:r>
        <w:rPr>
          <w:rFonts w:ascii="Arial" w:eastAsia="Arial" w:hAnsi="Arial" w:cs="Arial"/>
        </w:rPr>
        <w:t xml:space="preserve"> </w:t>
      </w:r>
    </w:p>
    <w:p w:rsidR="00FA7413" w:rsidRDefault="00D712A8">
      <w:pPr>
        <w:spacing w:after="98"/>
        <w:ind w:left="1068"/>
      </w:pPr>
      <w:r>
        <w:rPr>
          <w:rFonts w:ascii="Arial" w:eastAsia="Arial" w:hAnsi="Arial" w:cs="Arial"/>
          <w:i/>
        </w:rPr>
        <w:t xml:space="preserve"> </w:t>
      </w:r>
    </w:p>
    <w:p w:rsidR="00FA7413" w:rsidRDefault="00D712A8">
      <w:pPr>
        <w:spacing w:after="112" w:line="247" w:lineRule="auto"/>
        <w:ind w:left="3208" w:right="62" w:hanging="10"/>
        <w:jc w:val="both"/>
      </w:pPr>
      <w:r>
        <w:rPr>
          <w:rFonts w:ascii="Arial" w:eastAsia="Arial" w:hAnsi="Arial" w:cs="Arial"/>
          <w:i/>
        </w:rPr>
        <w:t xml:space="preserve">PROPUESTA DE ACUERDO  </w:t>
      </w:r>
    </w:p>
    <w:p w:rsidR="00FA7413" w:rsidRDefault="00D712A8">
      <w:pPr>
        <w:spacing w:after="98"/>
        <w:ind w:left="1013" w:right="1279" w:hanging="10"/>
        <w:jc w:val="center"/>
      </w:pPr>
      <w:r>
        <w:rPr>
          <w:rFonts w:ascii="Arial" w:eastAsia="Arial" w:hAnsi="Arial" w:cs="Arial"/>
          <w:i/>
        </w:rPr>
        <w:t xml:space="preserve">Por lo expuesto se eleva al Pleno: </w:t>
      </w:r>
    </w:p>
    <w:p w:rsidR="00FA7413" w:rsidRDefault="00D712A8">
      <w:pPr>
        <w:spacing w:after="100"/>
        <w:ind w:left="360"/>
      </w:pPr>
      <w:r>
        <w:rPr>
          <w:rFonts w:ascii="Arial" w:eastAsia="Arial" w:hAnsi="Arial" w:cs="Arial"/>
          <w:i/>
        </w:rPr>
        <w:t xml:space="preserve"> </w:t>
      </w:r>
    </w:p>
    <w:p w:rsidR="00FA7413" w:rsidRDefault="00D712A8">
      <w:pPr>
        <w:spacing w:after="0" w:line="247" w:lineRule="auto"/>
        <w:ind w:left="345" w:right="62" w:firstLine="708"/>
        <w:jc w:val="both"/>
      </w:pPr>
      <w:r>
        <w:rPr>
          <w:rFonts w:ascii="Arial" w:eastAsia="Arial" w:hAnsi="Arial" w:cs="Arial"/>
          <w:i/>
        </w:rPr>
        <w:t>Primero. - Tomar conocimiento de la Sentencia de 28 de enero de 2010 (Procedimiento ordinario 108/2007) de la Sala de lo Contencioso-Administrativo del Tr</w:t>
      </w:r>
      <w:r>
        <w:rPr>
          <w:rFonts w:ascii="Arial" w:eastAsia="Arial" w:hAnsi="Arial" w:cs="Arial"/>
          <w:i/>
        </w:rPr>
        <w:t xml:space="preserve">ibunal Superior de Justicia de Canarias (Sección Segunda. Santa Cruz de Tenerife) por la que se desestima el recurso interpuesto por D. José Manuel Hernández Herrera contra el acuerdo de la Comisión de </w:t>
      </w:r>
    </w:p>
    <w:p w:rsidR="00FA7413" w:rsidRDefault="00D712A8">
      <w:pPr>
        <w:spacing w:after="112" w:line="247" w:lineRule="auto"/>
        <w:ind w:left="355" w:right="62" w:hanging="10"/>
        <w:jc w:val="both"/>
      </w:pPr>
      <w:r>
        <w:rPr>
          <w:rFonts w:ascii="Arial" w:eastAsia="Arial" w:hAnsi="Arial" w:cs="Arial"/>
          <w:i/>
        </w:rPr>
        <w:t>Ordenación del Territorio y Medio Ambiente de Canaria</w:t>
      </w:r>
      <w:r>
        <w:rPr>
          <w:rFonts w:ascii="Arial" w:eastAsia="Arial" w:hAnsi="Arial" w:cs="Arial"/>
          <w:i/>
        </w:rPr>
        <w:t xml:space="preserve">s (COTMAC) del Gobierno de Canarias de 20 de julio de 2006 y de corrección de errores de 10 de noviembre de 2006 se aprobó definitivamente el Plan General de Ordenación Urbana del municipio de Candelaria (BOC de 8 de mayo y 10 de mayo de 2007). </w:t>
      </w:r>
    </w:p>
    <w:p w:rsidR="00FA7413" w:rsidRDefault="00D712A8">
      <w:pPr>
        <w:spacing w:after="100"/>
        <w:ind w:left="360"/>
      </w:pPr>
      <w:r>
        <w:rPr>
          <w:rFonts w:ascii="Arial" w:eastAsia="Arial" w:hAnsi="Arial" w:cs="Arial"/>
          <w:i/>
        </w:rPr>
        <w:t xml:space="preserve"> </w:t>
      </w:r>
    </w:p>
    <w:p w:rsidR="00FA7413" w:rsidRDefault="00D712A8">
      <w:pPr>
        <w:spacing w:after="112" w:line="247" w:lineRule="auto"/>
        <w:ind w:left="1078" w:right="62" w:hanging="10"/>
        <w:jc w:val="both"/>
      </w:pPr>
      <w:r>
        <w:rPr>
          <w:rFonts w:ascii="Arial" w:eastAsia="Arial" w:hAnsi="Arial" w:cs="Arial"/>
          <w:i/>
        </w:rPr>
        <w:t xml:space="preserve">Segundo. - Notificar el presente acuerdo al interesado.  </w:t>
      </w:r>
    </w:p>
    <w:p w:rsidR="00FA7413" w:rsidRDefault="00D712A8">
      <w:pPr>
        <w:spacing w:after="101"/>
        <w:ind w:left="1068"/>
      </w:pPr>
      <w:r>
        <w:rPr>
          <w:rFonts w:ascii="Arial" w:eastAsia="Arial" w:hAnsi="Arial" w:cs="Arial"/>
          <w:i/>
        </w:rPr>
        <w:t xml:space="preserve"> </w:t>
      </w:r>
    </w:p>
    <w:p w:rsidR="00FA7413" w:rsidRDefault="00D712A8">
      <w:pPr>
        <w:spacing w:after="95"/>
        <w:ind w:left="1068"/>
      </w:pPr>
      <w:r>
        <w:rPr>
          <w:rFonts w:ascii="Arial" w:eastAsia="Arial" w:hAnsi="Arial" w:cs="Arial"/>
          <w:i/>
        </w:rPr>
        <w:t xml:space="preserve"> </w:t>
      </w:r>
    </w:p>
    <w:p w:rsidR="00FA7413" w:rsidRDefault="00D712A8">
      <w:pPr>
        <w:spacing w:after="112" w:line="248" w:lineRule="auto"/>
        <w:ind w:left="1078" w:right="62" w:hanging="10"/>
        <w:jc w:val="both"/>
      </w:pPr>
      <w:r>
        <w:rPr>
          <w:rFonts w:ascii="Arial" w:eastAsia="Arial" w:hAnsi="Arial" w:cs="Arial"/>
          <w:b/>
        </w:rPr>
        <w:t xml:space="preserve">Esta Alcaldía-Presidencia eleva al Pleno la siguiente propuesta: </w:t>
      </w:r>
    </w:p>
    <w:p w:rsidR="00FA7413" w:rsidRDefault="00D712A8">
      <w:pPr>
        <w:spacing w:after="112" w:line="248" w:lineRule="auto"/>
        <w:ind w:left="345" w:right="62" w:firstLine="708"/>
        <w:jc w:val="both"/>
      </w:pPr>
      <w:r>
        <w:rPr>
          <w:rFonts w:ascii="Arial" w:eastAsia="Arial" w:hAnsi="Arial" w:cs="Arial"/>
          <w:b/>
        </w:rPr>
        <w:t>Primero. - Tomar conocimiento de la Sentencia de 28 de enero de 2010 (Procedimiento ordinario 108/2007) de la Sala de lo Contenc</w:t>
      </w:r>
      <w:r>
        <w:rPr>
          <w:rFonts w:ascii="Arial" w:eastAsia="Arial" w:hAnsi="Arial" w:cs="Arial"/>
          <w:b/>
        </w:rPr>
        <w:t xml:space="preserve">ioso-Administrativo del Tribunal Superior de Justicia de Canarias (Sección Segunda. Santa Cruz de Tenerife) por la que se desestima el recurso interpuesto por D. José Manuel Hernández Herrera contra el acuerdo de la Comisión de Ordenación del Territorio y </w:t>
      </w:r>
      <w:r>
        <w:rPr>
          <w:rFonts w:ascii="Arial" w:eastAsia="Arial" w:hAnsi="Arial" w:cs="Arial"/>
          <w:b/>
        </w:rPr>
        <w:t>Medio Ambiente de Canarias (COTMAC) del Gobierno de Canarias de 20 de julio de 2006 y de corrección de errores de 10 de noviembre de 2006 se aprobó definitivamente el Plan General de Ordenación Urbana del municipio de Candelaria (BOC de 8 de mayo y 10 de m</w:t>
      </w:r>
      <w:r>
        <w:rPr>
          <w:rFonts w:ascii="Arial" w:eastAsia="Arial" w:hAnsi="Arial" w:cs="Arial"/>
          <w:b/>
        </w:rPr>
        <w:t xml:space="preserve">ayo de 2007). </w:t>
      </w:r>
    </w:p>
    <w:p w:rsidR="00FA7413" w:rsidRDefault="00D712A8">
      <w:pPr>
        <w:spacing w:after="99"/>
        <w:ind w:left="360"/>
      </w:pPr>
      <w:r>
        <w:rPr>
          <w:rFonts w:ascii="Arial" w:eastAsia="Arial" w:hAnsi="Arial" w:cs="Arial"/>
          <w:b/>
        </w:rPr>
        <w:t xml:space="preserve"> </w:t>
      </w:r>
    </w:p>
    <w:p w:rsidR="00FA7413" w:rsidRDefault="00D712A8">
      <w:pPr>
        <w:spacing w:after="112" w:line="248" w:lineRule="auto"/>
        <w:ind w:left="1078" w:right="62" w:hanging="10"/>
        <w:jc w:val="both"/>
      </w:pPr>
      <w:r>
        <w:rPr>
          <w:rFonts w:ascii="Arial" w:eastAsia="Arial" w:hAnsi="Arial" w:cs="Arial"/>
          <w:b/>
        </w:rPr>
        <w:t xml:space="preserve">Segundo. - Notificar el presente acuerdo al interesado. “ </w:t>
      </w:r>
    </w:p>
    <w:p w:rsidR="00FA7413" w:rsidRDefault="00D712A8">
      <w:pPr>
        <w:spacing w:after="100"/>
        <w:ind w:left="1068"/>
      </w:pPr>
      <w:r>
        <w:rPr>
          <w:rFonts w:ascii="Arial" w:eastAsia="Arial" w:hAnsi="Arial" w:cs="Arial"/>
          <w:b/>
        </w:rPr>
        <w:t xml:space="preserve"> </w:t>
      </w:r>
    </w:p>
    <w:p w:rsidR="00FA7413" w:rsidRDefault="00D712A8">
      <w:pPr>
        <w:spacing w:after="0"/>
        <w:ind w:left="360"/>
      </w:pPr>
      <w:r>
        <w:rPr>
          <w:noProof/>
        </w:rPr>
        <mc:AlternateContent>
          <mc:Choice Requires="wpg">
            <w:drawing>
              <wp:anchor distT="0" distB="0" distL="114300" distR="114300" simplePos="0" relativeHeight="251702272"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07112" name="Group 207112"/>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6419" name="Rectangle 6419"/>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6420" name="Rectangle 6420"/>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Documento firmado electrónicamente desde la plataforma esPublico Gestiona |</w:t>
                              </w:r>
                              <w:r>
                                <w:rPr>
                                  <w:rFonts w:ascii="Arial" w:eastAsia="Arial" w:hAnsi="Arial" w:cs="Arial"/>
                                  <w:sz w:val="12"/>
                                </w:rPr>
                                <w:t xml:space="preserve"> Página 42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7112" style="width:12.7031pt;height:275.586pt;position:absolute;mso-position-horizontal-relative:page;mso-position-horizontal:absolute;margin-left:682.278pt;mso-position-vertical-relative:page;margin-top:536.334pt;" coordsize="1613,34999">
                <v:rect id="Rectangle 6419"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6420"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42 de 180 </w:t>
                        </w:r>
                      </w:p>
                    </w:txbxContent>
                  </v:textbox>
                </v:rect>
                <w10:wrap type="square"/>
              </v:group>
            </w:pict>
          </mc:Fallback>
        </mc:AlternateContent>
      </w:r>
      <w:r>
        <w:rPr>
          <w:rFonts w:ascii="Arial" w:eastAsia="Arial" w:hAnsi="Arial" w:cs="Arial"/>
        </w:rPr>
        <w:t xml:space="preserve"> </w:t>
      </w:r>
    </w:p>
    <w:p w:rsidR="00FA7413" w:rsidRDefault="00D712A8">
      <w:pPr>
        <w:spacing w:after="0" w:line="248" w:lineRule="auto"/>
        <w:ind w:left="355" w:right="62" w:hanging="10"/>
        <w:jc w:val="both"/>
      </w:pPr>
      <w:r>
        <w:rPr>
          <w:rFonts w:ascii="Arial" w:eastAsia="Arial" w:hAnsi="Arial" w:cs="Arial"/>
          <w:b/>
        </w:rPr>
        <w:t xml:space="preserve">DICTAMEN FAVORABLE DE LA COMISIÓN INFORMATIVA DE P.G. URBANÍSTICA Y AMBIENTAL, OBRAS y SERVICIOS PÚBLICOS DE 21 DE JUNIO DE 2021.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 xml:space="preserve">Por el Secretario se procede a dar lectura del oficio de la Secretaría General de 31 de enero de 2020 a Servicios Generales que da origen a la tramitación de estos expedientes que transcrito literalmente dice: </w:t>
      </w:r>
    </w:p>
    <w:p w:rsidR="00FA7413" w:rsidRDefault="00D712A8">
      <w:pPr>
        <w:spacing w:after="0"/>
        <w:ind w:left="360"/>
      </w:pPr>
      <w:r>
        <w:rPr>
          <w:rFonts w:ascii="Arial" w:eastAsia="Arial" w:hAnsi="Arial" w:cs="Arial"/>
          <w:i/>
        </w:rPr>
        <w:t xml:space="preserve"> </w:t>
      </w:r>
    </w:p>
    <w:p w:rsidR="00FA7413" w:rsidRDefault="00D712A8">
      <w:pPr>
        <w:spacing w:after="0" w:line="247" w:lineRule="auto"/>
        <w:ind w:left="355" w:right="62" w:hanging="10"/>
        <w:jc w:val="both"/>
      </w:pPr>
      <w:r>
        <w:rPr>
          <w:rFonts w:ascii="Arial" w:eastAsia="Arial" w:hAnsi="Arial" w:cs="Arial"/>
          <w:i/>
        </w:rPr>
        <w:t>“Visto que según reunión mantenida por la S</w:t>
      </w:r>
      <w:r>
        <w:rPr>
          <w:rFonts w:ascii="Arial" w:eastAsia="Arial" w:hAnsi="Arial" w:cs="Arial"/>
          <w:i/>
        </w:rPr>
        <w:t>ecretaria General con el Área de Urbanismo el 31 de enero de 2020 se ha puesto de conocimiento de la existencia de sentencias firmes que afectan al Plan General de Ordenación vigente del municipio de Candelaria de las que no se ha tomado conocimiento por e</w:t>
      </w:r>
      <w:r>
        <w:rPr>
          <w:rFonts w:ascii="Arial" w:eastAsia="Arial" w:hAnsi="Arial" w:cs="Arial"/>
          <w:i/>
        </w:rPr>
        <w:t xml:space="preserve">l Pleno de la Corporación y en consecuencia no se han ejecutado llevándolas a puro y debido efecto como exige la Ley 29/1998, de la Jurisdicción Contencioso-Administrativa.  </w:t>
      </w:r>
    </w:p>
    <w:p w:rsidR="00FA7413" w:rsidRDefault="00D712A8">
      <w:pPr>
        <w:spacing w:after="0"/>
        <w:ind w:left="360"/>
      </w:pPr>
      <w:r>
        <w:rPr>
          <w:rFonts w:ascii="Arial" w:eastAsia="Arial" w:hAnsi="Arial" w:cs="Arial"/>
        </w:rPr>
        <w:t xml:space="preserve"> </w:t>
      </w:r>
    </w:p>
    <w:p w:rsidR="00FA7413" w:rsidRDefault="00D712A8">
      <w:pPr>
        <w:spacing w:after="0" w:line="247" w:lineRule="auto"/>
        <w:ind w:left="355" w:right="62" w:hanging="10"/>
        <w:jc w:val="both"/>
      </w:pPr>
      <w:r>
        <w:rPr>
          <w:rFonts w:ascii="Arial" w:eastAsia="Arial" w:hAnsi="Arial" w:cs="Arial"/>
          <w:i/>
        </w:rPr>
        <w:t>Visto que ya consta en el expediente 10989/2019 que la Concejal delegada de Pla</w:t>
      </w:r>
      <w:r>
        <w:rPr>
          <w:rFonts w:ascii="Arial" w:eastAsia="Arial" w:hAnsi="Arial" w:cs="Arial"/>
          <w:i/>
        </w:rPr>
        <w:t>nificación y Gestión Urbanística y Ambiental emitió oficio el 12 de noviembre de 2019 solicitando dichas sentencias a Servicios Generales y de las que no se tiene conocimiento que se han remitido para su toma de conocimiento por el pleno y su ejecución cor</w:t>
      </w:r>
      <w:r>
        <w:rPr>
          <w:rFonts w:ascii="Arial" w:eastAsia="Arial" w:hAnsi="Arial" w:cs="Arial"/>
          <w:i/>
        </w:rPr>
        <w:t xml:space="preserve">respondiente.  </w:t>
      </w:r>
    </w:p>
    <w:p w:rsidR="00FA7413" w:rsidRDefault="00D712A8">
      <w:pPr>
        <w:spacing w:after="0"/>
        <w:ind w:left="360"/>
      </w:pPr>
      <w:r>
        <w:rPr>
          <w:rFonts w:ascii="Arial" w:eastAsia="Arial" w:hAnsi="Arial" w:cs="Arial"/>
        </w:rPr>
        <w:t xml:space="preserve"> </w:t>
      </w:r>
    </w:p>
    <w:p w:rsidR="00FA7413" w:rsidRDefault="00D712A8">
      <w:pPr>
        <w:spacing w:after="0" w:line="247" w:lineRule="auto"/>
        <w:ind w:left="355" w:right="62" w:hanging="10"/>
        <w:jc w:val="both"/>
      </w:pPr>
      <w:r>
        <w:rPr>
          <w:rFonts w:ascii="Arial" w:eastAsia="Arial" w:hAnsi="Arial" w:cs="Arial"/>
          <w:i/>
        </w:rPr>
        <w:t>Se le solicita al Departamento de Servicios Generales, Contratación y Bienes que en el período improrrogable comprendido desde el 3 al 28 de febrero de 2020 remita a Secretaría General debidamente ordenados y clasificados con un oficio de</w:t>
      </w:r>
      <w:r>
        <w:rPr>
          <w:rFonts w:ascii="Arial" w:eastAsia="Arial" w:hAnsi="Arial" w:cs="Arial"/>
          <w:i/>
        </w:rPr>
        <w:t xml:space="preserve"> remisión, todos los expedientes originales que obren en ese Departamento entre el año 2007 hasta el año 2020 sobre sentencias resultantes de impugnaciones del orden jurisdiccional contencioso-administrativo relativas al Plan General de </w:t>
      </w:r>
    </w:p>
    <w:p w:rsidR="00FA7413" w:rsidRDefault="00D712A8">
      <w:pPr>
        <w:spacing w:after="3" w:line="247" w:lineRule="auto"/>
        <w:ind w:left="355" w:right="62" w:hanging="10"/>
        <w:jc w:val="both"/>
      </w:pPr>
      <w:r>
        <w:rPr>
          <w:rFonts w:ascii="Arial" w:eastAsia="Arial" w:hAnsi="Arial" w:cs="Arial"/>
          <w:i/>
        </w:rPr>
        <w:t>Ordenación actualm</w:t>
      </w:r>
      <w:r>
        <w:rPr>
          <w:rFonts w:ascii="Arial" w:eastAsia="Arial" w:hAnsi="Arial" w:cs="Arial"/>
          <w:i/>
        </w:rPr>
        <w:t>ente vigente publicado en el BOP de 17 de mayo de 2007 a los efectos de preparar el expediente con los informes técnicos y jurídicos correspondientes para su toma de conocimiento por el Pleno ordinario de marzo y la ejecución y cumplimiento de dichas sente</w:t>
      </w:r>
      <w:r>
        <w:rPr>
          <w:rFonts w:ascii="Arial" w:eastAsia="Arial" w:hAnsi="Arial" w:cs="Arial"/>
          <w:i/>
        </w:rPr>
        <w:t>ncias”.</w:t>
      </w:r>
      <w:r>
        <w:rPr>
          <w:rFonts w:ascii="Times New Roman" w:eastAsia="Times New Roman" w:hAnsi="Times New Roman" w:cs="Times New Roman"/>
          <w:sz w:val="24"/>
        </w:rPr>
        <w:t xml:space="preserve"> </w:t>
      </w:r>
    </w:p>
    <w:p w:rsidR="00FA7413" w:rsidRDefault="00D712A8">
      <w:pPr>
        <w:spacing w:after="0"/>
        <w:ind w:left="360"/>
      </w:pPr>
      <w:r>
        <w:rPr>
          <w:rFonts w:ascii="Arial" w:eastAsia="Arial" w:hAnsi="Arial" w:cs="Arial"/>
          <w:b/>
          <w:i/>
        </w:rPr>
        <w:t xml:space="preserve"> </w:t>
      </w:r>
    </w:p>
    <w:p w:rsidR="00FA7413" w:rsidRDefault="00D712A8">
      <w:pPr>
        <w:spacing w:after="11" w:line="248" w:lineRule="auto"/>
        <w:ind w:left="355" w:right="62" w:hanging="10"/>
        <w:jc w:val="both"/>
      </w:pPr>
      <w:r>
        <w:rPr>
          <w:rFonts w:ascii="Arial" w:eastAsia="Arial" w:hAnsi="Arial" w:cs="Arial"/>
          <w:b/>
        </w:rPr>
        <w:t xml:space="preserve">Los 7 concejales presentes tomaron conocimiento: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 xml:space="preserve">Los 4 concejales del Grupo Socialista: Doña Hilaria Cecilia Otazo González, Don José Francisco Pinto Ramos, Doña María del Carmen Clemente Díaz y Don Olegario Francisco Alonso Bello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La concejal del Grupo Popular, Doña Raquel Martín Castro.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 xml:space="preserve">La 2 concejalas del Grupo Mixto: Doña Lourdes del Carmen Mondéjar Rondón (SSP),  y Doña Ángela Cruz Perera (CC).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3516" w:hanging="10"/>
        <w:jc w:val="both"/>
      </w:pPr>
      <w:r>
        <w:rPr>
          <w:rFonts w:ascii="Arial" w:eastAsia="Arial" w:hAnsi="Arial" w:cs="Arial"/>
          <w:b/>
        </w:rPr>
        <w:t xml:space="preserve">JUNTA DE PORTAVOCES DE 21 DE JUNIO DE 2021  </w:t>
      </w:r>
      <w:r>
        <w:rPr>
          <w:rFonts w:ascii="Arial" w:eastAsia="Arial" w:hAnsi="Arial" w:cs="Arial"/>
        </w:rPr>
        <w:t xml:space="preserve">Quedó oída.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355" w:right="62" w:hanging="10"/>
        <w:jc w:val="both"/>
      </w:pPr>
      <w:r>
        <w:rPr>
          <w:rFonts w:ascii="Arial" w:eastAsia="Arial" w:hAnsi="Arial" w:cs="Arial"/>
          <w:b/>
        </w:rPr>
        <w:t>TOMA DE CONOCIMIE</w:t>
      </w:r>
      <w:r>
        <w:rPr>
          <w:rFonts w:ascii="Arial" w:eastAsia="Arial" w:hAnsi="Arial" w:cs="Arial"/>
          <w:b/>
        </w:rPr>
        <w:t xml:space="preserve">NTO EN EL PLENO DE 24 DE JUNIO DE 2021.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Los 18 concejales presentes tomaron conocimiento: </w:t>
      </w:r>
    </w:p>
    <w:p w:rsidR="00FA7413" w:rsidRDefault="00D712A8">
      <w:pPr>
        <w:spacing w:after="0"/>
        <w:ind w:left="360"/>
      </w:pPr>
      <w:r>
        <w:rPr>
          <w:rFonts w:ascii="Arial" w:eastAsia="Arial" w:hAnsi="Arial" w:cs="Arial"/>
          <w:b/>
        </w:rPr>
        <w:t xml:space="preserve"> </w:t>
      </w:r>
    </w:p>
    <w:p w:rsidR="00FA7413" w:rsidRDefault="00D712A8">
      <w:pPr>
        <w:spacing w:after="109" w:line="248" w:lineRule="auto"/>
        <w:ind w:left="345" w:right="64" w:firstLine="708"/>
        <w:jc w:val="both"/>
      </w:pPr>
      <w:r>
        <w:rPr>
          <w:noProof/>
        </w:rPr>
        <mc:AlternateContent>
          <mc:Choice Requires="wpg">
            <w:drawing>
              <wp:anchor distT="0" distB="0" distL="114300" distR="114300" simplePos="0" relativeHeight="251703296"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03946" name="Group 203946"/>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6538" name="Rectangle 6538"/>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6539" name="Rectangle 6539"/>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43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3946" style="width:12.7031pt;height:275.586pt;position:absolute;mso-position-horizontal-relative:page;mso-position-horizontal:absolute;margin-left:682.278pt;mso-position-vertical-relative:page;margin-top:536.334pt;" coordsize="1613,34999">
                <v:rect id="Rectangle 6538"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6539"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43 de 180 </w:t>
                        </w:r>
                      </w:p>
                    </w:txbxContent>
                  </v:textbox>
                </v:rect>
                <w10:wrap type="square"/>
              </v:group>
            </w:pict>
          </mc:Fallback>
        </mc:AlternateContent>
      </w:r>
      <w:r>
        <w:rPr>
          <w:rFonts w:ascii="Arial" w:eastAsia="Arial" w:hAnsi="Arial" w:cs="Arial"/>
        </w:rPr>
        <w:t>11 concejales del Grupo Socialista: Doña María Concepción Brito Núñez, Don Jorge Baute Delgado, Doña Olivia Concepción Pérez Díaz, Don José Francisco Pinto Ramos,</w:t>
      </w:r>
      <w:r>
        <w:rPr>
          <w:rFonts w:ascii="Arial" w:eastAsia="Arial" w:hAnsi="Arial" w:cs="Arial"/>
        </w:rPr>
        <w:t xml:space="preserve"> Doña Hilaria Cecilia Otazo González, Don Airam Pérez Chinea, Doña Margarita Eva Tendero Barroso, Don Manuel Alberto González Pestano, Doña María del Carmen Clemente Díaz, Don Olegario Francisco Alonso Bello y Don Reinaldo José Triviño Blanco. </w:t>
      </w:r>
    </w:p>
    <w:p w:rsidR="00FA7413" w:rsidRDefault="00D712A8">
      <w:pPr>
        <w:spacing w:after="109" w:line="248" w:lineRule="auto"/>
        <w:ind w:left="345" w:right="64" w:firstLine="708"/>
        <w:jc w:val="both"/>
      </w:pPr>
      <w:r>
        <w:rPr>
          <w:rFonts w:ascii="Arial" w:eastAsia="Arial" w:hAnsi="Arial" w:cs="Arial"/>
        </w:rPr>
        <w:t>3 concejale</w:t>
      </w:r>
      <w:r>
        <w:rPr>
          <w:rFonts w:ascii="Arial" w:eastAsia="Arial" w:hAnsi="Arial" w:cs="Arial"/>
        </w:rPr>
        <w:t xml:space="preserve">s del Grupo Popular: Don Andrés Rodríguez Delgado, Don Jacobo López Fariña y Doña Raquel Martín Castro. </w:t>
      </w:r>
    </w:p>
    <w:p w:rsidR="00FA7413" w:rsidRDefault="00D712A8">
      <w:pPr>
        <w:spacing w:after="109" w:line="248" w:lineRule="auto"/>
        <w:ind w:left="345" w:right="64" w:firstLine="708"/>
        <w:jc w:val="both"/>
      </w:pPr>
      <w:r>
        <w:rPr>
          <w:rFonts w:ascii="Arial" w:eastAsia="Arial" w:hAnsi="Arial" w:cs="Arial"/>
        </w:rPr>
        <w:t xml:space="preserve">3 de los concejales del Grupo Mixto: Don Antonio Delgado García y Doña Lourdes del Carmen Mondéjar Rondón (SSP) y  Doña Ángela Cruz Perera (CC). </w:t>
      </w:r>
    </w:p>
    <w:p w:rsidR="00FA7413" w:rsidRDefault="00D712A8">
      <w:pPr>
        <w:spacing w:after="109" w:line="248" w:lineRule="auto"/>
        <w:ind w:left="1078" w:right="64" w:hanging="10"/>
        <w:jc w:val="both"/>
      </w:pPr>
      <w:r>
        <w:rPr>
          <w:rFonts w:ascii="Arial" w:eastAsia="Arial" w:hAnsi="Arial" w:cs="Arial"/>
        </w:rPr>
        <w:t xml:space="preserve">1 de la concejal del Grupo Mixto (VxC): Doña Alicia Mercedes Marrero Meneses.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1789" w:right="62" w:hanging="10"/>
        <w:jc w:val="both"/>
      </w:pPr>
      <w:r>
        <w:rPr>
          <w:rFonts w:ascii="Arial" w:eastAsia="Arial" w:hAnsi="Arial" w:cs="Arial"/>
          <w:b/>
        </w:rPr>
        <w:t xml:space="preserve">  ACUERDO DEL PLENO DE 24 DE JUNIO DE 2021. </w:t>
      </w:r>
    </w:p>
    <w:p w:rsidR="00FA7413" w:rsidRDefault="00D712A8">
      <w:pPr>
        <w:spacing w:after="95"/>
        <w:ind w:left="1068"/>
      </w:pPr>
      <w:r>
        <w:rPr>
          <w:rFonts w:ascii="Arial" w:eastAsia="Arial" w:hAnsi="Arial" w:cs="Arial"/>
        </w:rPr>
        <w:t xml:space="preserve"> </w:t>
      </w:r>
    </w:p>
    <w:p w:rsidR="00FA7413" w:rsidRDefault="00D712A8">
      <w:pPr>
        <w:spacing w:after="112" w:line="248" w:lineRule="auto"/>
        <w:ind w:left="345" w:right="62" w:firstLine="708"/>
        <w:jc w:val="both"/>
      </w:pPr>
      <w:r>
        <w:rPr>
          <w:rFonts w:ascii="Arial" w:eastAsia="Arial" w:hAnsi="Arial" w:cs="Arial"/>
          <w:b/>
        </w:rPr>
        <w:t>Primero. - Tomar conocimiento de la Sentencia de 28 de enero de 2010 (Procedimiento ordinario 108/2007) de la Sala de lo Contenc</w:t>
      </w:r>
      <w:r>
        <w:rPr>
          <w:rFonts w:ascii="Arial" w:eastAsia="Arial" w:hAnsi="Arial" w:cs="Arial"/>
          <w:b/>
        </w:rPr>
        <w:t xml:space="preserve">ioso-Administrativo del Tribunal Superior de Justicia de Canarias (Sección Segunda. Santa Cruz de Tenerife) por la que se desestima el recurso interpuesto por D. José Manuel Hernández Herrera contra el acuerdo de la Comisión de Ordenación del Territorio y </w:t>
      </w:r>
      <w:r>
        <w:rPr>
          <w:rFonts w:ascii="Arial" w:eastAsia="Arial" w:hAnsi="Arial" w:cs="Arial"/>
          <w:b/>
        </w:rPr>
        <w:t>Medio Ambiente de Canarias (COTMAC) del Gobierno de Canarias de 20 de julio de 2006 y de corrección de errores de 10 de noviembre de 2006 se aprobó definitivamente el Plan General de Ordenación Urbana del municipio de Candelaria (BOC de 8 de mayo y 10 de m</w:t>
      </w:r>
      <w:r>
        <w:rPr>
          <w:rFonts w:ascii="Arial" w:eastAsia="Arial" w:hAnsi="Arial" w:cs="Arial"/>
          <w:b/>
        </w:rPr>
        <w:t xml:space="preserve">ayo de 2007). </w:t>
      </w:r>
    </w:p>
    <w:p w:rsidR="00FA7413" w:rsidRDefault="00D712A8">
      <w:pPr>
        <w:spacing w:after="101"/>
        <w:ind w:left="360"/>
      </w:pPr>
      <w:r>
        <w:rPr>
          <w:rFonts w:ascii="Arial" w:eastAsia="Arial" w:hAnsi="Arial" w:cs="Arial"/>
          <w:b/>
        </w:rPr>
        <w:t xml:space="preserve"> </w:t>
      </w:r>
    </w:p>
    <w:p w:rsidR="00FA7413" w:rsidRDefault="00D712A8">
      <w:pPr>
        <w:spacing w:after="112" w:line="248" w:lineRule="auto"/>
        <w:ind w:left="1078" w:right="62" w:hanging="10"/>
        <w:jc w:val="both"/>
      </w:pPr>
      <w:r>
        <w:rPr>
          <w:rFonts w:ascii="Arial" w:eastAsia="Arial" w:hAnsi="Arial" w:cs="Arial"/>
          <w:b/>
        </w:rPr>
        <w:t xml:space="preserve">Segundo. - Notificar el presente acuerdo al interesado. “ </w:t>
      </w:r>
    </w:p>
    <w:p w:rsidR="00FA7413" w:rsidRDefault="00D712A8">
      <w:pPr>
        <w:spacing w:after="93" w:line="249" w:lineRule="auto"/>
        <w:ind w:left="355" w:right="66" w:hanging="10"/>
        <w:jc w:val="both"/>
      </w:pPr>
      <w:r>
        <w:rPr>
          <w:rFonts w:ascii="Arial" w:eastAsia="Arial" w:hAnsi="Arial" w:cs="Arial"/>
          <w:b/>
          <w:sz w:val="24"/>
        </w:rPr>
        <w:t>8.-</w:t>
      </w:r>
      <w:r>
        <w:rPr>
          <w:rFonts w:ascii="Arial" w:eastAsia="Arial" w:hAnsi="Arial" w:cs="Arial"/>
          <w:sz w:val="24"/>
        </w:rPr>
        <w:t xml:space="preserve">  </w:t>
      </w:r>
      <w:r>
        <w:rPr>
          <w:rFonts w:ascii="Arial" w:eastAsia="Arial" w:hAnsi="Arial" w:cs="Arial"/>
          <w:b/>
          <w:sz w:val="24"/>
        </w:rPr>
        <w:t>Expediente 2284/2020. Toma de conocimiento de la sentencia del Tribunal Superior de Justicia de Canarias de 2 de marzo de 2010 por la que se desestima el recurso interpuesto por Don Luis Javier Senante Mascareño contra el PGO de Candelaria.</w:t>
      </w:r>
      <w:r>
        <w:rPr>
          <w:rFonts w:ascii="Arial" w:eastAsia="Arial" w:hAnsi="Arial" w:cs="Arial"/>
        </w:rPr>
        <w:t xml:space="preserve"> </w:t>
      </w:r>
    </w:p>
    <w:p w:rsidR="00FA7413" w:rsidRDefault="00D712A8">
      <w:pPr>
        <w:spacing w:after="100"/>
        <w:ind w:left="360"/>
      </w:pPr>
      <w:r>
        <w:rPr>
          <w:rFonts w:ascii="Arial" w:eastAsia="Arial" w:hAnsi="Arial" w:cs="Arial"/>
          <w:b/>
        </w:rPr>
        <w:t xml:space="preserve"> </w:t>
      </w:r>
    </w:p>
    <w:p w:rsidR="00FA7413" w:rsidRDefault="00D712A8">
      <w:pPr>
        <w:spacing w:after="112" w:line="248" w:lineRule="auto"/>
        <w:ind w:left="355" w:right="62" w:hanging="10"/>
        <w:jc w:val="both"/>
      </w:pPr>
      <w:r>
        <w:rPr>
          <w:rFonts w:ascii="Arial" w:eastAsia="Arial" w:hAnsi="Arial" w:cs="Arial"/>
          <w:b/>
        </w:rPr>
        <w:t>Consta en el</w:t>
      </w:r>
      <w:r>
        <w:rPr>
          <w:rFonts w:ascii="Arial" w:eastAsia="Arial" w:hAnsi="Arial" w:cs="Arial"/>
          <w:b/>
        </w:rPr>
        <w:t xml:space="preserve"> expediente Informe Jurídico emitido por Don Octavio Manuel Fernández Hernández, que desempeña el puesto de trabajo de Secretario General, de 14 de junio de 2021, del siguiente tenor literal:</w:t>
      </w:r>
      <w:r>
        <w:rPr>
          <w:rFonts w:ascii="Arial" w:eastAsia="Arial" w:hAnsi="Arial" w:cs="Arial"/>
        </w:rPr>
        <w:t xml:space="preserve"> </w:t>
      </w:r>
    </w:p>
    <w:p w:rsidR="00FA7413" w:rsidRDefault="00D712A8">
      <w:pPr>
        <w:spacing w:after="100"/>
        <w:ind w:left="360"/>
      </w:pPr>
      <w:r>
        <w:rPr>
          <w:rFonts w:ascii="Arial" w:eastAsia="Arial" w:hAnsi="Arial" w:cs="Arial"/>
          <w:b/>
        </w:rPr>
        <w:t xml:space="preserve"> </w:t>
      </w:r>
    </w:p>
    <w:p w:rsidR="00FA7413" w:rsidRDefault="00D712A8">
      <w:pPr>
        <w:spacing w:after="110"/>
        <w:ind w:left="360"/>
      </w:pPr>
      <w:r>
        <w:rPr>
          <w:rFonts w:ascii="Arial" w:eastAsia="Arial" w:hAnsi="Arial" w:cs="Arial"/>
        </w:rPr>
        <w:t xml:space="preserve"> </w:t>
      </w:r>
    </w:p>
    <w:p w:rsidR="00FA7413" w:rsidRDefault="00D712A8">
      <w:pPr>
        <w:pStyle w:val="Ttulo1"/>
        <w:ind w:left="1013" w:right="2425"/>
      </w:pPr>
      <w:r>
        <w:t xml:space="preserve">            “INFORME                             </w:t>
      </w:r>
      <w:r>
        <w:rPr>
          <w:b w:val="0"/>
        </w:rPr>
        <w:t xml:space="preserve"> </w:t>
      </w:r>
    </w:p>
    <w:p w:rsidR="00FA7413" w:rsidRDefault="00D712A8">
      <w:pPr>
        <w:spacing w:after="112" w:line="248" w:lineRule="auto"/>
        <w:ind w:left="1078" w:right="62" w:hanging="10"/>
        <w:jc w:val="both"/>
      </w:pPr>
      <w:r>
        <w:rPr>
          <w:rFonts w:ascii="Arial" w:eastAsia="Arial" w:hAnsi="Arial" w:cs="Arial"/>
          <w:b/>
        </w:rPr>
        <w:t>Visto el</w:t>
      </w:r>
      <w:r>
        <w:rPr>
          <w:rFonts w:ascii="Arial" w:eastAsia="Arial" w:hAnsi="Arial" w:cs="Arial"/>
          <w:b/>
        </w:rPr>
        <w:t xml:space="preserve"> expediente antedicho, se emite el siguiente informe: </w:t>
      </w:r>
    </w:p>
    <w:p w:rsidR="00FA7413" w:rsidRDefault="00D712A8">
      <w:pPr>
        <w:spacing w:after="109" w:line="248" w:lineRule="auto"/>
        <w:ind w:left="345" w:right="64" w:firstLine="708"/>
        <w:jc w:val="both"/>
      </w:pPr>
      <w:r>
        <w:rPr>
          <w:rFonts w:ascii="Arial" w:eastAsia="Arial" w:hAnsi="Arial" w:cs="Arial"/>
          <w:b/>
        </w:rPr>
        <w:t xml:space="preserve">Primero. - </w:t>
      </w:r>
      <w:r>
        <w:rPr>
          <w:rFonts w:ascii="Arial" w:eastAsia="Arial" w:hAnsi="Arial" w:cs="Arial"/>
        </w:rPr>
        <w:t>Por Acuerdo de la Comisión de Ordenación del Territorio y Medio Ambiente de Canarias (COTMAC) del Gobierno de Canarias de 20 de julio de 2006 y de corrección de errores de 10 de noviembre de</w:t>
      </w:r>
      <w:r>
        <w:rPr>
          <w:rFonts w:ascii="Arial" w:eastAsia="Arial" w:hAnsi="Arial" w:cs="Arial"/>
        </w:rPr>
        <w:t xml:space="preserve"> 2006 se aprobó definitivamente el Plan General de Ordenación Urbana del municipio de Candelaria (BOC de 8 de mayo y 10 de mayo de 2007) (BOP 17 de mayo de 2007) </w:t>
      </w:r>
    </w:p>
    <w:p w:rsidR="00FA7413" w:rsidRDefault="00D712A8">
      <w:pPr>
        <w:spacing w:after="109" w:line="248" w:lineRule="auto"/>
        <w:ind w:left="345" w:right="64" w:firstLine="708"/>
        <w:jc w:val="both"/>
      </w:pPr>
      <w:r>
        <w:rPr>
          <w:rFonts w:ascii="Arial" w:eastAsia="Arial" w:hAnsi="Arial" w:cs="Arial"/>
          <w:b/>
        </w:rPr>
        <w:t>Segundo. -</w:t>
      </w:r>
      <w:r>
        <w:rPr>
          <w:rFonts w:ascii="Arial" w:eastAsia="Arial" w:hAnsi="Arial" w:cs="Arial"/>
        </w:rPr>
        <w:t xml:space="preserve"> Que se interpuso recurso contencioso-administrativo contra el acuerdo mencionado e</w:t>
      </w:r>
      <w:r>
        <w:rPr>
          <w:rFonts w:ascii="Arial" w:eastAsia="Arial" w:hAnsi="Arial" w:cs="Arial"/>
        </w:rPr>
        <w:t xml:space="preserve">n el punto primero por D. Luis Javier Senante Mascareño. </w:t>
      </w:r>
    </w:p>
    <w:p w:rsidR="00FA7413" w:rsidRDefault="00D712A8">
      <w:pPr>
        <w:spacing w:after="109" w:line="248" w:lineRule="auto"/>
        <w:ind w:left="355" w:right="64" w:hanging="10"/>
        <w:jc w:val="both"/>
      </w:pPr>
      <w:r>
        <w:rPr>
          <w:noProof/>
        </w:rPr>
        <mc:AlternateContent>
          <mc:Choice Requires="wpg">
            <w:drawing>
              <wp:anchor distT="0" distB="0" distL="114300" distR="114300" simplePos="0" relativeHeight="251704320"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04342" name="Group 204342"/>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6699" name="Rectangle 6699"/>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6700" name="Rectangle 6700"/>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44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4342" style="width:12.7031pt;height:275.586pt;position:absolute;mso-position-horizontal-relative:page;mso-position-horizontal:absolute;margin-left:682.278pt;mso-position-vertical-relative:page;margin-top:536.334pt;" coordsize="1613,34999">
                <v:rect id="Rectangle 6699"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6700"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44 de 180 </w:t>
                        </w:r>
                      </w:p>
                    </w:txbxContent>
                  </v:textbox>
                </v:rect>
                <w10:wrap type="square"/>
              </v:group>
            </w:pict>
          </mc:Fallback>
        </mc:AlternateContent>
      </w:r>
      <w:r>
        <w:rPr>
          <w:rFonts w:ascii="Arial" w:eastAsia="Arial" w:hAnsi="Arial" w:cs="Arial"/>
          <w:b/>
        </w:rPr>
        <w:t xml:space="preserve"> </w:t>
      </w:r>
      <w:r>
        <w:rPr>
          <w:rFonts w:ascii="Arial" w:eastAsia="Arial" w:hAnsi="Arial" w:cs="Arial"/>
          <w:b/>
        </w:rPr>
        <w:tab/>
        <w:t xml:space="preserve">Tercero. - </w:t>
      </w:r>
      <w:r>
        <w:rPr>
          <w:rFonts w:ascii="Arial" w:eastAsia="Arial" w:hAnsi="Arial" w:cs="Arial"/>
        </w:rPr>
        <w:t xml:space="preserve">Que consta en el expediente sentencia que ha remitido Servicios Generales a la Secretaría General con fecha 26 de febrero de 2020: </w:t>
      </w:r>
    </w:p>
    <w:p w:rsidR="00FA7413" w:rsidRDefault="00D712A8">
      <w:pPr>
        <w:spacing w:after="117" w:line="241" w:lineRule="auto"/>
        <w:ind w:left="355" w:hanging="10"/>
      </w:pPr>
      <w:r>
        <w:rPr>
          <w:rFonts w:ascii="Arial" w:eastAsia="Arial" w:hAnsi="Arial" w:cs="Arial"/>
        </w:rPr>
        <w:t>Sentencia de 2 de marzo de 2010. Procedimiento ordinario 129/2007. Sala de lo ContenciosoAdministrativo del Tri</w:t>
      </w:r>
      <w:r>
        <w:rPr>
          <w:rFonts w:ascii="Arial" w:eastAsia="Arial" w:hAnsi="Arial" w:cs="Arial"/>
        </w:rPr>
        <w:t xml:space="preserve">bunal Superior de Justicia de Canarias. Sección Segunda. Santa Cruz de Tenerife. </w:t>
      </w:r>
    </w:p>
    <w:p w:rsidR="00FA7413" w:rsidRDefault="00D712A8">
      <w:pPr>
        <w:spacing w:after="112" w:line="247" w:lineRule="auto"/>
        <w:ind w:left="355" w:right="62" w:hanging="10"/>
        <w:jc w:val="both"/>
      </w:pPr>
      <w:r>
        <w:rPr>
          <w:rFonts w:ascii="Arial" w:eastAsia="Arial" w:hAnsi="Arial" w:cs="Arial"/>
        </w:rPr>
        <w:t>Fallo:</w:t>
      </w:r>
      <w:r>
        <w:rPr>
          <w:rFonts w:ascii="Arial" w:eastAsia="Arial" w:hAnsi="Arial" w:cs="Arial"/>
          <w:i/>
        </w:rPr>
        <w:t xml:space="preserve"> Desestimamos el recurso interpuesto por no ser contrario a derecho el acto impugnado, sin expresa imposición de costas.</w:t>
      </w:r>
      <w:r>
        <w:rPr>
          <w:rFonts w:ascii="Arial" w:eastAsia="Arial" w:hAnsi="Arial" w:cs="Arial"/>
        </w:rPr>
        <w:t xml:space="preserve"> </w:t>
      </w:r>
    </w:p>
    <w:p w:rsidR="00FA7413" w:rsidRDefault="00D712A8">
      <w:pPr>
        <w:spacing w:after="155" w:line="248" w:lineRule="auto"/>
        <w:ind w:left="345" w:right="62" w:firstLine="708"/>
        <w:jc w:val="both"/>
      </w:pPr>
      <w:r>
        <w:rPr>
          <w:rFonts w:ascii="Arial" w:eastAsia="Arial" w:hAnsi="Arial" w:cs="Arial"/>
          <w:b/>
        </w:rPr>
        <w:t xml:space="preserve">Cuarto. - Que con fecha 7 de junio de 2021 ha </w:t>
      </w:r>
      <w:r>
        <w:rPr>
          <w:rFonts w:ascii="Arial" w:eastAsia="Arial" w:hAnsi="Arial" w:cs="Arial"/>
          <w:b/>
        </w:rPr>
        <w:t xml:space="preserve">tenido entrada en el Ayuntamiento de Candelaria, el oficio del Gobierno de Canarias que en relación al presente expediente dice: </w:t>
      </w:r>
    </w:p>
    <w:p w:rsidR="00FA7413" w:rsidRDefault="00D712A8">
      <w:pPr>
        <w:spacing w:after="112" w:line="247" w:lineRule="auto"/>
        <w:ind w:left="355" w:right="62" w:hanging="10"/>
        <w:jc w:val="both"/>
      </w:pPr>
      <w:r>
        <w:rPr>
          <w:rFonts w:ascii="Arial" w:eastAsia="Arial" w:hAnsi="Arial" w:cs="Arial"/>
          <w:b/>
        </w:rPr>
        <w:t xml:space="preserve"> </w:t>
      </w:r>
      <w:r>
        <w:rPr>
          <w:rFonts w:ascii="Arial" w:eastAsia="Arial" w:hAnsi="Arial" w:cs="Arial"/>
          <w:i/>
        </w:rPr>
        <w:t>“En los casos de las sentencias de los expedientes número 2252/2020, 2280/2020, 2257/2020, 2254/2020, 2284/2020 y 2282/2020 d</w:t>
      </w:r>
      <w:r>
        <w:rPr>
          <w:rFonts w:ascii="Arial" w:eastAsia="Arial" w:hAnsi="Arial" w:cs="Arial"/>
          <w:i/>
        </w:rPr>
        <w:t>ado que se refieren a procedimientos en los que los recursos interpuestos han sido desestimados por considerarse que el acto recurrido es ajustado a derecho, no se requiere de actuación alguna tendente a la ejecución de su fallo.</w:t>
      </w:r>
      <w:r>
        <w:rPr>
          <w:rFonts w:ascii="Arial" w:eastAsia="Arial" w:hAnsi="Arial" w:cs="Arial"/>
        </w:rPr>
        <w:t xml:space="preserve"> </w:t>
      </w:r>
    </w:p>
    <w:p w:rsidR="00FA7413" w:rsidRDefault="00D712A8">
      <w:pPr>
        <w:spacing w:after="112" w:line="247" w:lineRule="auto"/>
        <w:ind w:left="355" w:right="62" w:hanging="10"/>
        <w:jc w:val="both"/>
      </w:pPr>
      <w:r>
        <w:rPr>
          <w:rFonts w:ascii="Arial" w:eastAsia="Arial" w:hAnsi="Arial" w:cs="Arial"/>
          <w:i/>
        </w:rPr>
        <w:t xml:space="preserve"> La labor de ejecución en</w:t>
      </w:r>
      <w:r>
        <w:rPr>
          <w:rFonts w:ascii="Arial" w:eastAsia="Arial" w:hAnsi="Arial" w:cs="Arial"/>
          <w:i/>
        </w:rPr>
        <w:t xml:space="preserve"> estos casos se reduce a una actuación formal de toma de conocimiento de la sentencia por parte del órgano competente, sin que se requiera de la realización de ninguna otra actividad material de ejecución. </w:t>
      </w:r>
    </w:p>
    <w:p w:rsidR="00FA7413" w:rsidRDefault="00D712A8">
      <w:pPr>
        <w:spacing w:after="112" w:line="247" w:lineRule="auto"/>
        <w:ind w:left="355" w:right="62" w:hanging="10"/>
        <w:jc w:val="both"/>
      </w:pPr>
      <w:r>
        <w:rPr>
          <w:rFonts w:ascii="Arial" w:eastAsia="Arial" w:hAnsi="Arial" w:cs="Arial"/>
          <w:i/>
        </w:rPr>
        <w:t xml:space="preserve"> Dicha actuación ha sido llevada a cabo en la for</w:t>
      </w:r>
      <w:r>
        <w:rPr>
          <w:rFonts w:ascii="Arial" w:eastAsia="Arial" w:hAnsi="Arial" w:cs="Arial"/>
          <w:i/>
        </w:rPr>
        <w:t>ma expuesta en el apartado anterior, por lo que la ejecución de estas sentencias ha de darse por concluida desde el mismo momento en que la Comisión de Ordenación del</w:t>
      </w:r>
      <w:r>
        <w:rPr>
          <w:rFonts w:ascii="Arial" w:eastAsia="Arial" w:hAnsi="Arial" w:cs="Arial"/>
          <w:b/>
          <w:i/>
        </w:rPr>
        <w:t xml:space="preserve"> </w:t>
      </w:r>
      <w:r>
        <w:rPr>
          <w:rFonts w:ascii="Arial" w:eastAsia="Arial" w:hAnsi="Arial" w:cs="Arial"/>
          <w:i/>
        </w:rPr>
        <w:t>Territorio y Medio Ambiente de Canarias tomó conocimiento de ellas y lo comunicó al Ayuntamiento”.</w:t>
      </w:r>
      <w:r>
        <w:rPr>
          <w:rFonts w:ascii="Arial" w:eastAsia="Arial" w:hAnsi="Arial" w:cs="Arial"/>
        </w:rPr>
        <w:t xml:space="preserve"> </w:t>
      </w:r>
    </w:p>
    <w:p w:rsidR="00FA7413" w:rsidRDefault="00D712A8">
      <w:pPr>
        <w:spacing w:after="98"/>
        <w:ind w:left="360"/>
      </w:pPr>
      <w:r>
        <w:rPr>
          <w:rFonts w:ascii="Arial" w:eastAsia="Arial" w:hAnsi="Arial" w:cs="Arial"/>
          <w:i/>
        </w:rPr>
        <w:t xml:space="preserve"> </w:t>
      </w:r>
    </w:p>
    <w:p w:rsidR="00FA7413" w:rsidRDefault="00D712A8">
      <w:pPr>
        <w:spacing w:after="0"/>
        <w:ind w:left="360"/>
      </w:pPr>
      <w:r>
        <w:rPr>
          <w:rFonts w:ascii="Arial" w:eastAsia="Arial" w:hAnsi="Arial" w:cs="Arial"/>
          <w:i/>
        </w:rPr>
        <w:t xml:space="preserve"> </w:t>
      </w:r>
    </w:p>
    <w:p w:rsidR="00FA7413" w:rsidRDefault="00D712A8">
      <w:pPr>
        <w:spacing w:after="98"/>
        <w:ind w:left="360"/>
      </w:pPr>
      <w:r>
        <w:rPr>
          <w:rFonts w:ascii="Arial" w:eastAsia="Arial" w:hAnsi="Arial" w:cs="Arial"/>
          <w:i/>
        </w:rPr>
        <w:t xml:space="preserve"> </w:t>
      </w:r>
    </w:p>
    <w:p w:rsidR="00FA7413" w:rsidRDefault="00D712A8">
      <w:pPr>
        <w:spacing w:after="112" w:line="248" w:lineRule="auto"/>
        <w:ind w:left="2497" w:right="62" w:hanging="10"/>
        <w:jc w:val="both"/>
      </w:pPr>
      <w:r>
        <w:rPr>
          <w:rFonts w:ascii="Arial" w:eastAsia="Arial" w:hAnsi="Arial" w:cs="Arial"/>
          <w:b/>
        </w:rPr>
        <w:t xml:space="preserve">                     Fundamentos de derecho   </w:t>
      </w:r>
    </w:p>
    <w:p w:rsidR="00FA7413" w:rsidRDefault="00D712A8">
      <w:pPr>
        <w:spacing w:after="112" w:line="248" w:lineRule="auto"/>
        <w:ind w:left="355" w:right="62" w:hanging="10"/>
        <w:jc w:val="both"/>
      </w:pPr>
      <w:r>
        <w:rPr>
          <w:rFonts w:ascii="Arial" w:eastAsia="Arial" w:hAnsi="Arial" w:cs="Arial"/>
          <w:b/>
        </w:rPr>
        <w:t xml:space="preserve"> Primero. - Es de aplicación lo dispuesto en el artículo 118 de la constitución que establece: </w:t>
      </w:r>
    </w:p>
    <w:p w:rsidR="00FA7413" w:rsidRDefault="00D712A8">
      <w:pPr>
        <w:spacing w:after="112" w:line="247" w:lineRule="auto"/>
        <w:ind w:left="345" w:right="62" w:firstLine="708"/>
        <w:jc w:val="both"/>
      </w:pPr>
      <w:r>
        <w:rPr>
          <w:rFonts w:ascii="Arial" w:eastAsia="Arial" w:hAnsi="Arial" w:cs="Arial"/>
          <w:i/>
        </w:rPr>
        <w:t>Es obligado cumplir las sentencias y demás resoluciones firmes de los Jueces y Tribunales, así como prestar la colaboración requerida por éstos en el curso del proceso y en la ejecución de lo resuelto</w:t>
      </w:r>
      <w:r>
        <w:rPr>
          <w:rFonts w:ascii="Arial" w:eastAsia="Arial" w:hAnsi="Arial" w:cs="Arial"/>
        </w:rPr>
        <w:t xml:space="preserve">. </w:t>
      </w:r>
    </w:p>
    <w:p w:rsidR="00FA7413" w:rsidRDefault="00D712A8">
      <w:pPr>
        <w:spacing w:after="112" w:line="248" w:lineRule="auto"/>
        <w:ind w:left="345" w:right="62" w:firstLine="708"/>
        <w:jc w:val="both"/>
      </w:pPr>
      <w:r>
        <w:rPr>
          <w:rFonts w:ascii="Arial" w:eastAsia="Arial" w:hAnsi="Arial" w:cs="Arial"/>
          <w:b/>
        </w:rPr>
        <w:t>Segundo. - Es de aplicación lo dispuesto en el artícu</w:t>
      </w:r>
      <w:r>
        <w:rPr>
          <w:rFonts w:ascii="Arial" w:eastAsia="Arial" w:hAnsi="Arial" w:cs="Arial"/>
          <w:b/>
        </w:rPr>
        <w:t xml:space="preserve">lo 103.2 de la Ley 29/1998, de 13 de julio, de la Jurisdicción Contencioso-Administrativa que establece: </w:t>
      </w:r>
    </w:p>
    <w:p w:rsidR="00FA7413" w:rsidRDefault="00D712A8">
      <w:pPr>
        <w:spacing w:after="112" w:line="247" w:lineRule="auto"/>
        <w:ind w:left="345" w:right="62" w:firstLine="708"/>
        <w:jc w:val="both"/>
      </w:pPr>
      <w:r>
        <w:rPr>
          <w:rFonts w:ascii="Arial" w:eastAsia="Arial" w:hAnsi="Arial" w:cs="Arial"/>
          <w:i/>
        </w:rPr>
        <w:t>2. Las partes están obligadas a cumplir las sentencias en la forma y términos que en éstas se consignen</w:t>
      </w:r>
      <w:r>
        <w:rPr>
          <w:rFonts w:ascii="Arial" w:eastAsia="Arial" w:hAnsi="Arial" w:cs="Arial"/>
        </w:rPr>
        <w:t xml:space="preserve"> </w:t>
      </w:r>
    </w:p>
    <w:p w:rsidR="00FA7413" w:rsidRDefault="00D712A8">
      <w:pPr>
        <w:spacing w:after="98"/>
        <w:ind w:left="1068"/>
      </w:pPr>
      <w:r>
        <w:rPr>
          <w:rFonts w:ascii="Arial" w:eastAsia="Arial" w:hAnsi="Arial" w:cs="Arial"/>
          <w:b/>
        </w:rPr>
        <w:t xml:space="preserve"> </w:t>
      </w:r>
    </w:p>
    <w:p w:rsidR="00FA7413" w:rsidRDefault="00D712A8">
      <w:pPr>
        <w:spacing w:after="112" w:line="248" w:lineRule="auto"/>
        <w:ind w:left="1789" w:right="62" w:hanging="10"/>
        <w:jc w:val="both"/>
      </w:pPr>
      <w:r>
        <w:rPr>
          <w:rFonts w:ascii="Arial" w:eastAsia="Arial" w:hAnsi="Arial" w:cs="Arial"/>
          <w:b/>
        </w:rPr>
        <w:t xml:space="preserve">               PROPUESTA DE RESOLUCIÓN  </w:t>
      </w:r>
    </w:p>
    <w:p w:rsidR="00FA7413" w:rsidRDefault="00D712A8">
      <w:pPr>
        <w:spacing w:after="112" w:line="248" w:lineRule="auto"/>
        <w:ind w:left="1078" w:right="62" w:hanging="10"/>
        <w:jc w:val="both"/>
      </w:pPr>
      <w:r>
        <w:rPr>
          <w:rFonts w:ascii="Arial" w:eastAsia="Arial" w:hAnsi="Arial" w:cs="Arial"/>
          <w:b/>
        </w:rPr>
        <w:t>Po</w:t>
      </w:r>
      <w:r>
        <w:rPr>
          <w:rFonts w:ascii="Arial" w:eastAsia="Arial" w:hAnsi="Arial" w:cs="Arial"/>
          <w:b/>
        </w:rPr>
        <w:t xml:space="preserve">r lo expuesto se eleva la siguiente propuesta al Pleno: </w:t>
      </w:r>
    </w:p>
    <w:p w:rsidR="00FA7413" w:rsidRDefault="00D712A8">
      <w:pPr>
        <w:spacing w:after="100"/>
        <w:ind w:left="360"/>
      </w:pPr>
      <w:r>
        <w:rPr>
          <w:rFonts w:ascii="Arial" w:eastAsia="Arial" w:hAnsi="Arial" w:cs="Arial"/>
          <w:b/>
        </w:rPr>
        <w:t xml:space="preserve"> </w:t>
      </w:r>
    </w:p>
    <w:p w:rsidR="00FA7413" w:rsidRDefault="00D712A8">
      <w:pPr>
        <w:spacing w:after="109" w:line="248" w:lineRule="auto"/>
        <w:ind w:left="345" w:right="64" w:firstLine="708"/>
        <w:jc w:val="both"/>
      </w:pPr>
      <w:r>
        <w:rPr>
          <w:noProof/>
        </w:rPr>
        <mc:AlternateContent>
          <mc:Choice Requires="wpg">
            <w:drawing>
              <wp:anchor distT="0" distB="0" distL="114300" distR="114300" simplePos="0" relativeHeight="251705344"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04501" name="Group 204501"/>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6851" name="Rectangle 6851"/>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6852" name="Rectangle 6852"/>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45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4501" style="width:12.7031pt;height:275.586pt;position:absolute;mso-position-horizontal-relative:page;mso-position-horizontal:absolute;margin-left:682.278pt;mso-position-vertical-relative:page;margin-top:536.334pt;" coordsize="1613,34999">
                <v:rect id="Rectangle 6851"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6852"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45 de 180 </w:t>
                        </w:r>
                      </w:p>
                    </w:txbxContent>
                  </v:textbox>
                </v:rect>
                <w10:wrap type="square"/>
              </v:group>
            </w:pict>
          </mc:Fallback>
        </mc:AlternateContent>
      </w:r>
      <w:r>
        <w:rPr>
          <w:rFonts w:ascii="Arial" w:eastAsia="Arial" w:hAnsi="Arial" w:cs="Arial"/>
        </w:rPr>
        <w:t>Primero. - Tomar conocimiento de la Sentencia de 2 de marzo de 2010 (Procedimiento ordinario 129/2007) de la Sala de lo Contencioso-Administrativo del Tribunal Superior de Justicia de Canarias (Sección Segunda. Santa Cruz de Tenerife) por la que se desesti</w:t>
      </w:r>
      <w:r>
        <w:rPr>
          <w:rFonts w:ascii="Arial" w:eastAsia="Arial" w:hAnsi="Arial" w:cs="Arial"/>
        </w:rPr>
        <w:t>ma el recurso interpuesto por Don Luis Javier Senante Mascareño contra el acuerdo de la Comisión de Ordenación del Territorio y Medio Ambiente de Canarias (COTMAC) del Gobierno de Canarias de 20 de julio de 2006 y de corrección de errores de 10 de noviembr</w:t>
      </w:r>
      <w:r>
        <w:rPr>
          <w:rFonts w:ascii="Arial" w:eastAsia="Arial" w:hAnsi="Arial" w:cs="Arial"/>
        </w:rPr>
        <w:t xml:space="preserve">e de 2006 por el que se aprobó definitivamente el Plan General de Ordenación Urbana del municipio de Candelaria (BOC de 8 de mayo y 10 de mayo de 2007). </w:t>
      </w:r>
    </w:p>
    <w:p w:rsidR="00FA7413" w:rsidRDefault="00D712A8">
      <w:pPr>
        <w:spacing w:after="126"/>
        <w:ind w:left="360"/>
      </w:pPr>
      <w:r>
        <w:rPr>
          <w:rFonts w:ascii="Arial" w:eastAsia="Arial" w:hAnsi="Arial" w:cs="Arial"/>
        </w:rPr>
        <w:t xml:space="preserve"> </w:t>
      </w:r>
    </w:p>
    <w:p w:rsidR="00FA7413" w:rsidRDefault="00D712A8">
      <w:pPr>
        <w:spacing w:after="109" w:line="248" w:lineRule="auto"/>
        <w:ind w:left="1078" w:right="64" w:hanging="10"/>
        <w:jc w:val="both"/>
      </w:pPr>
      <w:r>
        <w:rPr>
          <w:rFonts w:ascii="Arial" w:eastAsia="Arial" w:hAnsi="Arial" w:cs="Arial"/>
        </w:rPr>
        <w:t xml:space="preserve">Segundo. - Notificación del presente acuerdo al interesado.” </w:t>
      </w:r>
    </w:p>
    <w:p w:rsidR="00FA7413" w:rsidRDefault="00D712A8">
      <w:pPr>
        <w:spacing w:after="98"/>
        <w:ind w:left="1068"/>
      </w:pPr>
      <w:r>
        <w:rPr>
          <w:rFonts w:ascii="Arial" w:eastAsia="Arial" w:hAnsi="Arial" w:cs="Arial"/>
        </w:rPr>
        <w:t xml:space="preserve"> </w:t>
      </w:r>
    </w:p>
    <w:p w:rsidR="00FA7413" w:rsidRDefault="00D712A8">
      <w:pPr>
        <w:spacing w:after="0" w:line="248" w:lineRule="auto"/>
        <w:ind w:left="355" w:right="62" w:hanging="10"/>
        <w:jc w:val="both"/>
      </w:pPr>
      <w:r>
        <w:rPr>
          <w:rFonts w:ascii="Arial" w:eastAsia="Arial" w:hAnsi="Arial" w:cs="Arial"/>
          <w:b/>
        </w:rPr>
        <w:t xml:space="preserve">Consta en el expediente propuesta de la Alcaldesa-Presidenta, de fecha 15 de junio de 2021, cuyo tenor literal es el siguiente: </w:t>
      </w:r>
    </w:p>
    <w:p w:rsidR="00FA7413" w:rsidRDefault="00D712A8">
      <w:pPr>
        <w:spacing w:after="0"/>
        <w:ind w:left="360"/>
      </w:pPr>
      <w:r>
        <w:rPr>
          <w:rFonts w:ascii="Arial" w:eastAsia="Arial" w:hAnsi="Arial" w:cs="Arial"/>
          <w:b/>
        </w:rPr>
        <w:t xml:space="preserve"> </w:t>
      </w:r>
    </w:p>
    <w:p w:rsidR="00FA7413" w:rsidRDefault="00D712A8">
      <w:pPr>
        <w:spacing w:after="112" w:line="248" w:lineRule="auto"/>
        <w:ind w:left="1078" w:right="62" w:hanging="10"/>
        <w:jc w:val="both"/>
      </w:pPr>
      <w:r>
        <w:rPr>
          <w:rFonts w:ascii="Arial" w:eastAsia="Arial" w:hAnsi="Arial" w:cs="Arial"/>
          <w:b/>
        </w:rPr>
        <w:t xml:space="preserve"> “PROPUESTA DE LA ALCALDÍA-PRESIDENCIA AL PLENO </w:t>
      </w:r>
    </w:p>
    <w:p w:rsidR="00FA7413" w:rsidRDefault="00D712A8">
      <w:pPr>
        <w:spacing w:after="112" w:line="248" w:lineRule="auto"/>
        <w:ind w:left="355" w:right="62" w:hanging="10"/>
        <w:jc w:val="both"/>
      </w:pPr>
      <w:r>
        <w:rPr>
          <w:rFonts w:ascii="Arial" w:eastAsia="Arial" w:hAnsi="Arial" w:cs="Arial"/>
          <w:b/>
        </w:rPr>
        <w:t>Vista el informe jurídico de la Secretaría General de fecha 14 de junio de 2</w:t>
      </w:r>
      <w:r>
        <w:rPr>
          <w:rFonts w:ascii="Arial" w:eastAsia="Arial" w:hAnsi="Arial" w:cs="Arial"/>
          <w:b/>
        </w:rPr>
        <w:t xml:space="preserve">021 que dice: </w:t>
      </w:r>
    </w:p>
    <w:p w:rsidR="00FA7413" w:rsidRDefault="00D712A8">
      <w:pPr>
        <w:spacing w:after="100"/>
        <w:ind w:left="409"/>
        <w:jc w:val="center"/>
      </w:pPr>
      <w:r>
        <w:rPr>
          <w:rFonts w:ascii="Arial" w:eastAsia="Arial" w:hAnsi="Arial" w:cs="Arial"/>
          <w:b/>
        </w:rPr>
        <w:t xml:space="preserve">                            </w:t>
      </w:r>
    </w:p>
    <w:p w:rsidR="00FA7413" w:rsidRDefault="00D712A8">
      <w:pPr>
        <w:spacing w:after="112" w:line="247" w:lineRule="auto"/>
        <w:ind w:left="1078" w:right="62" w:hanging="10"/>
        <w:jc w:val="both"/>
      </w:pPr>
      <w:r>
        <w:rPr>
          <w:rFonts w:ascii="Arial" w:eastAsia="Arial" w:hAnsi="Arial" w:cs="Arial"/>
          <w:i/>
        </w:rPr>
        <w:t xml:space="preserve">Visto el expediente antedicho, se emite el siguiente informe: </w:t>
      </w:r>
    </w:p>
    <w:p w:rsidR="00FA7413" w:rsidRDefault="00D712A8">
      <w:pPr>
        <w:spacing w:after="112" w:line="247" w:lineRule="auto"/>
        <w:ind w:left="345" w:right="62" w:firstLine="708"/>
        <w:jc w:val="both"/>
      </w:pPr>
      <w:r>
        <w:rPr>
          <w:rFonts w:ascii="Arial" w:eastAsia="Arial" w:hAnsi="Arial" w:cs="Arial"/>
          <w:i/>
        </w:rPr>
        <w:t>Primero.- Por Acuerdo de la Comisión de Ordenación del Territorio y Medio Ambiente de Canarias (COTMAC) del Gobierno de Canarias de 20 de julio de 20</w:t>
      </w:r>
      <w:r>
        <w:rPr>
          <w:rFonts w:ascii="Arial" w:eastAsia="Arial" w:hAnsi="Arial" w:cs="Arial"/>
          <w:i/>
        </w:rPr>
        <w:t xml:space="preserve">06 y de corrección de errores de 10 de noviembre de 2006 se aprobó definitivamente el Plan General de Ordenación Urbana del municipio de Candelaria (BOC  de 8 de mayo y 10 de mayo de 2007) (BOP 17 de mayo de 2007) </w:t>
      </w:r>
    </w:p>
    <w:p w:rsidR="00FA7413" w:rsidRDefault="00D712A8">
      <w:pPr>
        <w:spacing w:after="112" w:line="247" w:lineRule="auto"/>
        <w:ind w:left="345" w:right="62" w:firstLine="708"/>
        <w:jc w:val="both"/>
      </w:pPr>
      <w:r>
        <w:rPr>
          <w:rFonts w:ascii="Arial" w:eastAsia="Arial" w:hAnsi="Arial" w:cs="Arial"/>
          <w:i/>
        </w:rPr>
        <w:t xml:space="preserve">Segundo.- </w:t>
      </w:r>
      <w:r>
        <w:rPr>
          <w:rFonts w:ascii="Arial" w:eastAsia="Arial" w:hAnsi="Arial" w:cs="Arial"/>
          <w:i/>
        </w:rPr>
        <w:t xml:space="preserve">Que se interpuso recurso contencioso-administrativo contra el acuerdo mencionado en el punto primero por D. Luis Javier Senante Mascareño. </w:t>
      </w:r>
    </w:p>
    <w:p w:rsidR="00FA7413" w:rsidRDefault="00D712A8">
      <w:pPr>
        <w:spacing w:after="112" w:line="247" w:lineRule="auto"/>
        <w:ind w:left="355" w:right="62" w:hanging="10"/>
        <w:jc w:val="both"/>
      </w:pPr>
      <w:r>
        <w:rPr>
          <w:rFonts w:ascii="Arial" w:eastAsia="Arial" w:hAnsi="Arial" w:cs="Arial"/>
          <w:i/>
        </w:rPr>
        <w:t xml:space="preserve"> Tercero.- Que consta en el expediente sentencia que ha remitido Servicios Generales a la Secretaría General con fec</w:t>
      </w:r>
      <w:r>
        <w:rPr>
          <w:rFonts w:ascii="Arial" w:eastAsia="Arial" w:hAnsi="Arial" w:cs="Arial"/>
          <w:i/>
        </w:rPr>
        <w:t xml:space="preserve">ha 26 de febrero de 2020: </w:t>
      </w:r>
    </w:p>
    <w:p w:rsidR="00FA7413" w:rsidRDefault="00D712A8">
      <w:pPr>
        <w:spacing w:after="118" w:line="241" w:lineRule="auto"/>
        <w:ind w:left="345"/>
      </w:pPr>
      <w:r>
        <w:rPr>
          <w:rFonts w:ascii="Arial" w:eastAsia="Arial" w:hAnsi="Arial" w:cs="Arial"/>
          <w:i/>
        </w:rPr>
        <w:t xml:space="preserve">Sentencia de 2 de marzo de 2010. Procedimiento ordinario 129/2007. Sala de lo ContenciosoAdministrativo del Tribunal Superior de Justicia de Canarias. Sección Segunda. Santa Cruz de Tenerife. </w:t>
      </w:r>
    </w:p>
    <w:p w:rsidR="00FA7413" w:rsidRDefault="00D712A8">
      <w:pPr>
        <w:spacing w:after="112" w:line="247" w:lineRule="auto"/>
        <w:ind w:left="355" w:right="62" w:hanging="10"/>
        <w:jc w:val="both"/>
      </w:pPr>
      <w:r>
        <w:rPr>
          <w:rFonts w:ascii="Arial" w:eastAsia="Arial" w:hAnsi="Arial" w:cs="Arial"/>
          <w:i/>
        </w:rPr>
        <w:t>Fallo: Desestimamos el recurso inter</w:t>
      </w:r>
      <w:r>
        <w:rPr>
          <w:rFonts w:ascii="Arial" w:eastAsia="Arial" w:hAnsi="Arial" w:cs="Arial"/>
          <w:i/>
        </w:rPr>
        <w:t xml:space="preserve">puesto por no ser contrario a derecho el acto impugnado, sin expresa imposición de costas. </w:t>
      </w:r>
    </w:p>
    <w:p w:rsidR="00FA7413" w:rsidRDefault="00D712A8">
      <w:pPr>
        <w:spacing w:after="150" w:line="247" w:lineRule="auto"/>
        <w:ind w:left="345" w:right="62" w:firstLine="708"/>
        <w:jc w:val="both"/>
      </w:pPr>
      <w:r>
        <w:rPr>
          <w:rFonts w:ascii="Arial" w:eastAsia="Arial" w:hAnsi="Arial" w:cs="Arial"/>
          <w:i/>
        </w:rPr>
        <w:t>Cuarto.- Que con fecha 7 de junio de 2021 ha tenido entrada en el Ayuntamiento de Candelaria, el oficio del Gobierno de Canarias que en relación al presente expedie</w:t>
      </w:r>
      <w:r>
        <w:rPr>
          <w:rFonts w:ascii="Arial" w:eastAsia="Arial" w:hAnsi="Arial" w:cs="Arial"/>
          <w:i/>
        </w:rPr>
        <w:t xml:space="preserve">nte dice: </w:t>
      </w:r>
    </w:p>
    <w:p w:rsidR="00FA7413" w:rsidRDefault="00D712A8">
      <w:pPr>
        <w:spacing w:after="112" w:line="247" w:lineRule="auto"/>
        <w:ind w:left="355" w:right="62" w:hanging="10"/>
        <w:jc w:val="both"/>
      </w:pPr>
      <w:r>
        <w:rPr>
          <w:rFonts w:ascii="Arial" w:eastAsia="Arial" w:hAnsi="Arial" w:cs="Arial"/>
          <w:i/>
        </w:rPr>
        <w:t xml:space="preserve"> “En los casos de las sentencias de los expedientes número 2252/2020, 2280/2020, 2257/2020, 2254/2020, 2284/2020 y 2282/2020 dado que se refieren a procedimientos en los que los recursos interpuestos han sido desestimados por considerarse que el</w:t>
      </w:r>
      <w:r>
        <w:rPr>
          <w:rFonts w:ascii="Arial" w:eastAsia="Arial" w:hAnsi="Arial" w:cs="Arial"/>
          <w:i/>
        </w:rPr>
        <w:t xml:space="preserve"> acto recurrido es ajustado a derecho, no se requiere de actuación alguna tendente a la ejecución de su fallo. </w:t>
      </w:r>
    </w:p>
    <w:p w:rsidR="00FA7413" w:rsidRDefault="00D712A8">
      <w:pPr>
        <w:spacing w:after="112" w:line="247" w:lineRule="auto"/>
        <w:ind w:left="355" w:right="62" w:hanging="10"/>
        <w:jc w:val="both"/>
      </w:pPr>
      <w:r>
        <w:rPr>
          <w:rFonts w:ascii="Arial" w:eastAsia="Arial" w:hAnsi="Arial" w:cs="Arial"/>
          <w:i/>
        </w:rPr>
        <w:t xml:space="preserve"> </w:t>
      </w:r>
      <w:r>
        <w:rPr>
          <w:rFonts w:ascii="Arial" w:eastAsia="Arial" w:hAnsi="Arial" w:cs="Arial"/>
          <w:i/>
        </w:rPr>
        <w:t xml:space="preserve">La labor de ejecución en estos casos se reduce a una actuación formal de toma de conocimiento de la sentencia por parte del órgano competente, sin que se requiera de la realización de ninguna otra actividad material de ejecución. </w:t>
      </w:r>
    </w:p>
    <w:p w:rsidR="00FA7413" w:rsidRDefault="00D712A8">
      <w:pPr>
        <w:spacing w:after="112" w:line="247" w:lineRule="auto"/>
        <w:ind w:left="355" w:right="62" w:hanging="10"/>
        <w:jc w:val="both"/>
      </w:pPr>
      <w:r>
        <w:rPr>
          <w:rFonts w:ascii="Arial" w:eastAsia="Arial" w:hAnsi="Arial" w:cs="Arial"/>
          <w:i/>
        </w:rPr>
        <w:t xml:space="preserve"> Dicha actuación ha sido </w:t>
      </w:r>
      <w:r>
        <w:rPr>
          <w:rFonts w:ascii="Arial" w:eastAsia="Arial" w:hAnsi="Arial" w:cs="Arial"/>
          <w:i/>
        </w:rPr>
        <w:t>llevada a cabo en la forma expuesta en el apartado anterior, por lo que la ejecución de estas sentencias ha de darse por concluida desde el mismo momento en que la Comisión de Ordenación del Territorio y Medio Ambiente de Canarias tomó conocimiento de ella</w:t>
      </w:r>
      <w:r>
        <w:rPr>
          <w:rFonts w:ascii="Arial" w:eastAsia="Arial" w:hAnsi="Arial" w:cs="Arial"/>
          <w:i/>
        </w:rPr>
        <w:t xml:space="preserve">s y lo comunicó al Ayuntamiento”. </w:t>
      </w:r>
    </w:p>
    <w:p w:rsidR="00FA7413" w:rsidRDefault="00D712A8">
      <w:pPr>
        <w:spacing w:after="100"/>
        <w:ind w:left="360"/>
      </w:pPr>
      <w:r>
        <w:rPr>
          <w:noProof/>
        </w:rPr>
        <mc:AlternateContent>
          <mc:Choice Requires="wpg">
            <w:drawing>
              <wp:anchor distT="0" distB="0" distL="114300" distR="114300" simplePos="0" relativeHeight="251706368"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04723" name="Group 204723"/>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6974" name="Rectangle 6974"/>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6975" name="Rectangle 6975"/>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46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4723" style="width:12.7031pt;height:275.586pt;position:absolute;mso-position-horizontal-relative:page;mso-position-horizontal:absolute;margin-left:682.278pt;mso-position-vertical-relative:page;margin-top:536.334pt;" coordsize="1613,34999">
                <v:rect id="Rectangle 6974"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6975"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46 de 180 </w:t>
                        </w:r>
                      </w:p>
                    </w:txbxContent>
                  </v:textbox>
                </v:rect>
                <w10:wrap type="square"/>
              </v:group>
            </w:pict>
          </mc:Fallback>
        </mc:AlternateContent>
      </w:r>
      <w:r>
        <w:rPr>
          <w:rFonts w:ascii="Arial" w:eastAsia="Arial" w:hAnsi="Arial" w:cs="Arial"/>
          <w:i/>
        </w:rPr>
        <w:t xml:space="preserve">  </w:t>
      </w:r>
    </w:p>
    <w:p w:rsidR="00FA7413" w:rsidRDefault="00D712A8">
      <w:pPr>
        <w:spacing w:after="112" w:line="247" w:lineRule="auto"/>
        <w:ind w:left="2497" w:right="62" w:hanging="10"/>
        <w:jc w:val="both"/>
      </w:pPr>
      <w:r>
        <w:rPr>
          <w:rFonts w:ascii="Arial" w:eastAsia="Arial" w:hAnsi="Arial" w:cs="Arial"/>
          <w:i/>
        </w:rPr>
        <w:t xml:space="preserve">       Fundamentos de</w:t>
      </w:r>
      <w:r>
        <w:rPr>
          <w:rFonts w:ascii="Arial" w:eastAsia="Arial" w:hAnsi="Arial" w:cs="Arial"/>
          <w:i/>
        </w:rPr>
        <w:t xml:space="preserve"> derecho   </w:t>
      </w:r>
    </w:p>
    <w:p w:rsidR="00FA7413" w:rsidRDefault="00D712A8">
      <w:pPr>
        <w:tabs>
          <w:tab w:val="center" w:pos="360"/>
          <w:tab w:val="right" w:pos="9999"/>
        </w:tabs>
        <w:spacing w:after="112" w:line="247" w:lineRule="auto"/>
      </w:pPr>
      <w:r>
        <w:tab/>
      </w:r>
      <w:r>
        <w:rPr>
          <w:rFonts w:ascii="Arial" w:eastAsia="Arial" w:hAnsi="Arial" w:cs="Arial"/>
          <w:i/>
        </w:rPr>
        <w:t xml:space="preserve"> </w:t>
      </w:r>
      <w:r>
        <w:rPr>
          <w:rFonts w:ascii="Arial" w:eastAsia="Arial" w:hAnsi="Arial" w:cs="Arial"/>
          <w:i/>
        </w:rPr>
        <w:tab/>
        <w:t xml:space="preserve">Primero.- Es de aplicación lo dispuesto en el artículo 118 de la constitución que establece: </w:t>
      </w:r>
    </w:p>
    <w:p w:rsidR="00FA7413" w:rsidRDefault="00D712A8">
      <w:pPr>
        <w:spacing w:after="112" w:line="247" w:lineRule="auto"/>
        <w:ind w:left="345" w:right="62" w:firstLine="708"/>
        <w:jc w:val="both"/>
      </w:pPr>
      <w:r>
        <w:rPr>
          <w:rFonts w:ascii="Arial" w:eastAsia="Arial" w:hAnsi="Arial" w:cs="Arial"/>
          <w:i/>
        </w:rPr>
        <w:t>Es obligado cumplir las sentencias y demás resoluciones firmes de los Jueces y Tribunales, así como prestar la colaboración requerida por éstos en el curso del proceso y en la ejecución de lo resuelto.</w:t>
      </w:r>
      <w:r>
        <w:rPr>
          <w:rFonts w:ascii="Arial" w:eastAsia="Arial" w:hAnsi="Arial" w:cs="Arial"/>
        </w:rPr>
        <w:t xml:space="preserve"> </w:t>
      </w:r>
    </w:p>
    <w:p w:rsidR="00FA7413" w:rsidRDefault="00D712A8">
      <w:pPr>
        <w:spacing w:after="112" w:line="247" w:lineRule="auto"/>
        <w:ind w:left="345" w:right="62" w:firstLine="708"/>
        <w:jc w:val="both"/>
      </w:pPr>
      <w:r>
        <w:rPr>
          <w:rFonts w:ascii="Arial" w:eastAsia="Arial" w:hAnsi="Arial" w:cs="Arial"/>
          <w:i/>
        </w:rPr>
        <w:t>Segundo.- Es de aplicación lo dispuesto en el artícul</w:t>
      </w:r>
      <w:r>
        <w:rPr>
          <w:rFonts w:ascii="Arial" w:eastAsia="Arial" w:hAnsi="Arial" w:cs="Arial"/>
          <w:i/>
        </w:rPr>
        <w:t xml:space="preserve">o 103.2 de la Ley 29/1998, de 13 de julio, de la Jurisdicción Contencioso-Administrativa que establece: </w:t>
      </w:r>
    </w:p>
    <w:p w:rsidR="00FA7413" w:rsidRDefault="00D712A8">
      <w:pPr>
        <w:spacing w:after="112" w:line="247" w:lineRule="auto"/>
        <w:ind w:left="345" w:right="62" w:firstLine="708"/>
        <w:jc w:val="both"/>
      </w:pPr>
      <w:r>
        <w:rPr>
          <w:rFonts w:ascii="Arial" w:eastAsia="Arial" w:hAnsi="Arial" w:cs="Arial"/>
          <w:i/>
        </w:rPr>
        <w:t>2. Las partes están obligadas a cumplir las sentencias en la forma y términos que en éstas se consignen</w:t>
      </w:r>
      <w:r>
        <w:rPr>
          <w:rFonts w:ascii="Arial" w:eastAsia="Arial" w:hAnsi="Arial" w:cs="Arial"/>
        </w:rPr>
        <w:t xml:space="preserve"> </w:t>
      </w:r>
    </w:p>
    <w:p w:rsidR="00FA7413" w:rsidRDefault="00D712A8">
      <w:pPr>
        <w:spacing w:after="100"/>
        <w:ind w:left="1068"/>
      </w:pPr>
      <w:r>
        <w:rPr>
          <w:rFonts w:ascii="Arial" w:eastAsia="Arial" w:hAnsi="Arial" w:cs="Arial"/>
          <w:i/>
        </w:rPr>
        <w:t xml:space="preserve"> </w:t>
      </w:r>
    </w:p>
    <w:p w:rsidR="00FA7413" w:rsidRDefault="00D712A8">
      <w:pPr>
        <w:spacing w:after="112" w:line="247" w:lineRule="auto"/>
        <w:ind w:left="1789" w:right="62" w:hanging="10"/>
        <w:jc w:val="both"/>
      </w:pPr>
      <w:r>
        <w:rPr>
          <w:rFonts w:ascii="Arial" w:eastAsia="Arial" w:hAnsi="Arial" w:cs="Arial"/>
          <w:i/>
        </w:rPr>
        <w:t xml:space="preserve">             PROPUESTA DE RESOLUCIÓN  </w:t>
      </w:r>
    </w:p>
    <w:p w:rsidR="00FA7413" w:rsidRDefault="00D712A8">
      <w:pPr>
        <w:spacing w:after="112" w:line="247" w:lineRule="auto"/>
        <w:ind w:left="1078" w:right="62" w:hanging="10"/>
        <w:jc w:val="both"/>
      </w:pPr>
      <w:r>
        <w:rPr>
          <w:rFonts w:ascii="Arial" w:eastAsia="Arial" w:hAnsi="Arial" w:cs="Arial"/>
          <w:i/>
        </w:rPr>
        <w:t>Por l</w:t>
      </w:r>
      <w:r>
        <w:rPr>
          <w:rFonts w:ascii="Arial" w:eastAsia="Arial" w:hAnsi="Arial" w:cs="Arial"/>
          <w:i/>
        </w:rPr>
        <w:t xml:space="preserve">o expuesto se eleva la siguiente propuesta al Pleno: </w:t>
      </w:r>
    </w:p>
    <w:p w:rsidR="00FA7413" w:rsidRDefault="00D712A8">
      <w:pPr>
        <w:spacing w:after="98"/>
        <w:ind w:left="360"/>
      </w:pPr>
      <w:r>
        <w:rPr>
          <w:rFonts w:ascii="Arial" w:eastAsia="Arial" w:hAnsi="Arial" w:cs="Arial"/>
          <w:i/>
        </w:rPr>
        <w:t xml:space="preserve"> </w:t>
      </w:r>
    </w:p>
    <w:p w:rsidR="00FA7413" w:rsidRDefault="00D712A8">
      <w:pPr>
        <w:spacing w:after="0" w:line="247" w:lineRule="auto"/>
        <w:ind w:left="345" w:right="62" w:firstLine="708"/>
        <w:jc w:val="both"/>
      </w:pPr>
      <w:r>
        <w:rPr>
          <w:rFonts w:ascii="Arial" w:eastAsia="Arial" w:hAnsi="Arial" w:cs="Arial"/>
          <w:i/>
        </w:rPr>
        <w:t>Primero.- Tomar conocimiento de la Sentencia de 2 de marzo de 2010 (Procedimiento ordinario 129/2007) de la Sala de lo Contencioso-Administrativo del Tribunal Superior de Justicia de Canarias (Sección</w:t>
      </w:r>
      <w:r>
        <w:rPr>
          <w:rFonts w:ascii="Arial" w:eastAsia="Arial" w:hAnsi="Arial" w:cs="Arial"/>
          <w:i/>
        </w:rPr>
        <w:t xml:space="preserve"> Segunda. Santa Cruz de Tenerife) por la que se desestima el recurso interpuesto por Don Luis Javier Senante Mascareño contra el acuerdo de la Comisión de Ordenación del Territorio y Medio Ambiente de Canarias (COTMAC) del Gobierno de Canarias de </w:t>
      </w:r>
    </w:p>
    <w:p w:rsidR="00FA7413" w:rsidRDefault="00D712A8">
      <w:pPr>
        <w:spacing w:after="112" w:line="247" w:lineRule="auto"/>
        <w:ind w:left="355" w:right="62" w:hanging="10"/>
        <w:jc w:val="both"/>
      </w:pPr>
      <w:r>
        <w:rPr>
          <w:rFonts w:ascii="Arial" w:eastAsia="Arial" w:hAnsi="Arial" w:cs="Arial"/>
          <w:i/>
        </w:rPr>
        <w:t>20 de ju</w:t>
      </w:r>
      <w:r>
        <w:rPr>
          <w:rFonts w:ascii="Arial" w:eastAsia="Arial" w:hAnsi="Arial" w:cs="Arial"/>
          <w:i/>
        </w:rPr>
        <w:t xml:space="preserve">lio de 2006 y de corrección de errores de 10 de noviembre de 2006 por el que se aprobó definitivamente el Plan General de Ordenación Urbana del municipio de Candelaria (BOC de 8 de mayo y 10 de mayo de 2007). </w:t>
      </w:r>
    </w:p>
    <w:p w:rsidR="00FA7413" w:rsidRDefault="00D712A8">
      <w:pPr>
        <w:spacing w:after="98"/>
        <w:ind w:left="360"/>
      </w:pPr>
      <w:r>
        <w:rPr>
          <w:rFonts w:ascii="Arial" w:eastAsia="Arial" w:hAnsi="Arial" w:cs="Arial"/>
          <w:i/>
        </w:rPr>
        <w:t xml:space="preserve"> </w:t>
      </w:r>
    </w:p>
    <w:p w:rsidR="00FA7413" w:rsidRDefault="00D712A8">
      <w:pPr>
        <w:spacing w:after="112" w:line="247" w:lineRule="auto"/>
        <w:ind w:left="1078" w:right="62" w:hanging="10"/>
        <w:jc w:val="both"/>
      </w:pPr>
      <w:r>
        <w:rPr>
          <w:rFonts w:ascii="Arial" w:eastAsia="Arial" w:hAnsi="Arial" w:cs="Arial"/>
          <w:i/>
        </w:rPr>
        <w:t xml:space="preserve">Segundo.- Notificación del presente acuerdo </w:t>
      </w:r>
      <w:r>
        <w:rPr>
          <w:rFonts w:ascii="Arial" w:eastAsia="Arial" w:hAnsi="Arial" w:cs="Arial"/>
          <w:i/>
        </w:rPr>
        <w:t xml:space="preserve">al interesado. </w:t>
      </w:r>
    </w:p>
    <w:p w:rsidR="00FA7413" w:rsidRDefault="00D712A8">
      <w:pPr>
        <w:spacing w:after="95"/>
        <w:ind w:left="1068"/>
      </w:pPr>
      <w:r>
        <w:rPr>
          <w:rFonts w:ascii="Arial" w:eastAsia="Arial" w:hAnsi="Arial" w:cs="Arial"/>
          <w:i/>
        </w:rPr>
        <w:t xml:space="preserve"> </w:t>
      </w:r>
    </w:p>
    <w:p w:rsidR="00FA7413" w:rsidRDefault="00D712A8">
      <w:pPr>
        <w:tabs>
          <w:tab w:val="center" w:pos="360"/>
          <w:tab w:val="center" w:pos="4427"/>
        </w:tabs>
        <w:spacing w:after="112" w:line="248" w:lineRule="auto"/>
      </w:pPr>
      <w:r>
        <w:tab/>
      </w:r>
      <w:r>
        <w:rPr>
          <w:rFonts w:ascii="Arial" w:eastAsia="Arial" w:hAnsi="Arial" w:cs="Arial"/>
        </w:rPr>
        <w:t xml:space="preserve">  </w:t>
      </w:r>
      <w:r>
        <w:rPr>
          <w:rFonts w:ascii="Arial" w:eastAsia="Arial" w:hAnsi="Arial" w:cs="Arial"/>
        </w:rPr>
        <w:tab/>
        <w:t xml:space="preserve"> </w:t>
      </w:r>
      <w:r>
        <w:rPr>
          <w:rFonts w:ascii="Arial" w:eastAsia="Arial" w:hAnsi="Arial" w:cs="Arial"/>
          <w:b/>
        </w:rPr>
        <w:t>Esta Alcaldía-Presidencia eleva al Pleno la siguiente propuesta:</w:t>
      </w:r>
      <w:r>
        <w:rPr>
          <w:rFonts w:ascii="Arial" w:eastAsia="Arial" w:hAnsi="Arial" w:cs="Arial"/>
        </w:rPr>
        <w:t xml:space="preserve"> </w:t>
      </w:r>
    </w:p>
    <w:p w:rsidR="00FA7413" w:rsidRDefault="00D712A8">
      <w:pPr>
        <w:spacing w:after="98"/>
        <w:ind w:left="360"/>
      </w:pPr>
      <w:r>
        <w:rPr>
          <w:rFonts w:ascii="Arial" w:eastAsia="Arial" w:hAnsi="Arial" w:cs="Arial"/>
        </w:rPr>
        <w:t xml:space="preserve"> </w:t>
      </w:r>
    </w:p>
    <w:p w:rsidR="00FA7413" w:rsidRDefault="00D712A8">
      <w:pPr>
        <w:spacing w:after="142" w:line="248" w:lineRule="auto"/>
        <w:ind w:left="345" w:right="64" w:firstLine="708"/>
        <w:jc w:val="both"/>
      </w:pPr>
      <w:r>
        <w:rPr>
          <w:rFonts w:ascii="Arial" w:eastAsia="Arial" w:hAnsi="Arial" w:cs="Arial"/>
        </w:rPr>
        <w:t xml:space="preserve"> Primero. - Tomar conocimiento de la Sentencia de 2 de marzo de 2010 (Procedimiento ordinario 129/2007) de la Sala de lo Contencioso-Administrativo del Tribunal </w:t>
      </w:r>
      <w:r>
        <w:rPr>
          <w:rFonts w:ascii="Arial" w:eastAsia="Arial" w:hAnsi="Arial" w:cs="Arial"/>
        </w:rPr>
        <w:t>Superior de Justicia de Canarias (Sección Segunda. Santa Cruz de Tenerife) por la que se desestima el recurso interpuesto por Don Luis Javier Senante Mascareño contra el acuerdo de la Comisión de Ordenación del Territorio y Medio Ambiente de Canarias (COTM</w:t>
      </w:r>
      <w:r>
        <w:rPr>
          <w:rFonts w:ascii="Arial" w:eastAsia="Arial" w:hAnsi="Arial" w:cs="Arial"/>
        </w:rPr>
        <w:t xml:space="preserve">AC) del Gobierno de Canarias de 20 de julio de 2006 y de corrección de errores de 10 de noviembre de 2006 por el que se aprobó definitivamente el Plan General de Ordenación Urbana del municipio de Candelaria (BOC de 8 de mayo y 10 de mayo de 2007). </w:t>
      </w:r>
    </w:p>
    <w:p w:rsidR="00FA7413" w:rsidRDefault="00D712A8">
      <w:pPr>
        <w:spacing w:after="109" w:line="248" w:lineRule="auto"/>
        <w:ind w:left="1078" w:right="64" w:hanging="10"/>
        <w:jc w:val="both"/>
      </w:pPr>
      <w:r>
        <w:rPr>
          <w:rFonts w:ascii="Arial" w:eastAsia="Arial" w:hAnsi="Arial" w:cs="Arial"/>
        </w:rPr>
        <w:t>Segund</w:t>
      </w:r>
      <w:r>
        <w:rPr>
          <w:rFonts w:ascii="Arial" w:eastAsia="Arial" w:hAnsi="Arial" w:cs="Arial"/>
        </w:rPr>
        <w:t xml:space="preserve">o. - Notificación del presente acuerdo al interesado.” </w:t>
      </w:r>
    </w:p>
    <w:p w:rsidR="00FA7413" w:rsidRDefault="00D712A8">
      <w:pPr>
        <w:spacing w:after="98"/>
        <w:ind w:left="360"/>
      </w:pPr>
      <w:r>
        <w:rPr>
          <w:rFonts w:ascii="Arial" w:eastAsia="Arial" w:hAnsi="Arial" w:cs="Arial"/>
        </w:rPr>
        <w:t xml:space="preserve"> </w:t>
      </w:r>
    </w:p>
    <w:p w:rsidR="00FA7413" w:rsidRDefault="00D712A8">
      <w:pPr>
        <w:spacing w:after="98"/>
        <w:ind w:left="1068"/>
      </w:pPr>
      <w:r>
        <w:rPr>
          <w:rFonts w:ascii="Arial" w:eastAsia="Arial" w:hAnsi="Arial" w:cs="Arial"/>
        </w:rPr>
        <w:t xml:space="preserve"> </w:t>
      </w:r>
    </w:p>
    <w:p w:rsidR="00FA7413" w:rsidRDefault="00D712A8">
      <w:pPr>
        <w:spacing w:after="0" w:line="248" w:lineRule="auto"/>
        <w:ind w:left="355" w:right="62" w:hanging="10"/>
        <w:jc w:val="both"/>
      </w:pPr>
      <w:r>
        <w:rPr>
          <w:noProof/>
        </w:rPr>
        <mc:AlternateContent>
          <mc:Choice Requires="wpg">
            <w:drawing>
              <wp:anchor distT="0" distB="0" distL="114300" distR="114300" simplePos="0" relativeHeight="251707392"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05836" name="Group 205836"/>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7090" name="Rectangle 7090"/>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7091" name="Rectangle 7091"/>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47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5836" style="width:12.7031pt;height:275.586pt;position:absolute;mso-position-horizontal-relative:page;mso-position-horizontal:absolute;margin-left:682.278pt;mso-position-vertical-relative:page;margin-top:536.334pt;" coordsize="1613,34999">
                <v:rect id="Rectangle 7090"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7091"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47 de 180 </w:t>
                        </w:r>
                      </w:p>
                    </w:txbxContent>
                  </v:textbox>
                </v:rect>
                <w10:wrap type="square"/>
              </v:group>
            </w:pict>
          </mc:Fallback>
        </mc:AlternateContent>
      </w:r>
      <w:r>
        <w:rPr>
          <w:rFonts w:ascii="Arial" w:eastAsia="Arial" w:hAnsi="Arial" w:cs="Arial"/>
          <w:b/>
        </w:rPr>
        <w:t xml:space="preserve">DICTAMEN FAVORABLE DE LA COMISIÓN INFORMATIVA DE P.G. URBANÍSTICA Y AMBIENTAL, OBRAS y SERVICIOS PÚBLICOS DE 21 DE JUNIO DE 2021.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Por el Secretario se procede a dar lectura del oficio de la Secretaría General de 31 de enero de 2020 a Servicios General</w:t>
      </w:r>
      <w:r>
        <w:rPr>
          <w:rFonts w:ascii="Arial" w:eastAsia="Arial" w:hAnsi="Arial" w:cs="Arial"/>
          <w:b/>
        </w:rPr>
        <w:t xml:space="preserve">es que da origen a la tramitación de estos expedientes que transcrito literalmente dice: </w:t>
      </w:r>
    </w:p>
    <w:p w:rsidR="00FA7413" w:rsidRDefault="00D712A8">
      <w:pPr>
        <w:spacing w:after="0"/>
        <w:ind w:left="360"/>
      </w:pPr>
      <w:r>
        <w:rPr>
          <w:rFonts w:ascii="Arial" w:eastAsia="Arial" w:hAnsi="Arial" w:cs="Arial"/>
          <w:i/>
        </w:rPr>
        <w:t xml:space="preserve"> </w:t>
      </w:r>
    </w:p>
    <w:p w:rsidR="00FA7413" w:rsidRDefault="00D712A8">
      <w:pPr>
        <w:spacing w:after="0" w:line="247" w:lineRule="auto"/>
        <w:ind w:left="355" w:right="62" w:hanging="10"/>
        <w:jc w:val="both"/>
      </w:pPr>
      <w:r>
        <w:rPr>
          <w:rFonts w:ascii="Arial" w:eastAsia="Arial" w:hAnsi="Arial" w:cs="Arial"/>
          <w:i/>
        </w:rPr>
        <w:t>“Visto que según reunión mantenida por la Secretaria General con el Área de Urbanismo el 31 de enero de 2020 se ha puesto de conocimiento de la existencia de sentencias firmes que afectan al Plan General de Ordenación vigente del municipio de Candelaria de</w:t>
      </w:r>
      <w:r>
        <w:rPr>
          <w:rFonts w:ascii="Arial" w:eastAsia="Arial" w:hAnsi="Arial" w:cs="Arial"/>
          <w:i/>
        </w:rPr>
        <w:t xml:space="preserve"> las que no se ha tomado conocimiento por el Pleno de la Corporación y en consecuencia no se han ejecutado llevándolas a puro y debido efecto como exige la Ley 29/1998, de la Jurisdicción Contencioso-Administrativa.  </w:t>
      </w:r>
    </w:p>
    <w:p w:rsidR="00FA7413" w:rsidRDefault="00D712A8">
      <w:pPr>
        <w:spacing w:after="0"/>
        <w:ind w:left="360"/>
      </w:pPr>
      <w:r>
        <w:rPr>
          <w:rFonts w:ascii="Arial" w:eastAsia="Arial" w:hAnsi="Arial" w:cs="Arial"/>
        </w:rPr>
        <w:t xml:space="preserve"> </w:t>
      </w:r>
    </w:p>
    <w:p w:rsidR="00FA7413" w:rsidRDefault="00D712A8">
      <w:pPr>
        <w:spacing w:after="0" w:line="247" w:lineRule="auto"/>
        <w:ind w:left="355" w:right="62" w:hanging="10"/>
        <w:jc w:val="both"/>
      </w:pPr>
      <w:r>
        <w:rPr>
          <w:rFonts w:ascii="Arial" w:eastAsia="Arial" w:hAnsi="Arial" w:cs="Arial"/>
          <w:i/>
        </w:rPr>
        <w:t>Visto que ya consta en el expediente 10989/2019 que la Concejal delegada de Planificación y Gestión Urbanística y Ambiental emitió oficio el 12 de noviembre de 2019 solicitando dichas sentencias a Servicios Generales y de las que no se tiene conocimiento q</w:t>
      </w:r>
      <w:r>
        <w:rPr>
          <w:rFonts w:ascii="Arial" w:eastAsia="Arial" w:hAnsi="Arial" w:cs="Arial"/>
          <w:i/>
        </w:rPr>
        <w:t xml:space="preserve">ue se han remitido para su toma de conocimiento por el pleno y su ejecución correspondiente.  </w:t>
      </w:r>
    </w:p>
    <w:p w:rsidR="00FA7413" w:rsidRDefault="00D712A8">
      <w:pPr>
        <w:spacing w:after="0"/>
        <w:ind w:left="360"/>
      </w:pPr>
      <w:r>
        <w:rPr>
          <w:rFonts w:ascii="Arial" w:eastAsia="Arial" w:hAnsi="Arial" w:cs="Arial"/>
        </w:rPr>
        <w:t xml:space="preserve"> </w:t>
      </w:r>
    </w:p>
    <w:p w:rsidR="00FA7413" w:rsidRDefault="00D712A8">
      <w:pPr>
        <w:spacing w:after="112" w:line="247" w:lineRule="auto"/>
        <w:ind w:left="355" w:right="62" w:hanging="10"/>
        <w:jc w:val="both"/>
      </w:pPr>
      <w:r>
        <w:rPr>
          <w:rFonts w:ascii="Arial" w:eastAsia="Arial" w:hAnsi="Arial" w:cs="Arial"/>
          <w:i/>
        </w:rPr>
        <w:t>Se le solicita al Departamento de Servicios Generales, Contratación y Bienes que en el período improrrogable comprendido desde el 3 al 28 de febrero de 2020 re</w:t>
      </w:r>
      <w:r>
        <w:rPr>
          <w:rFonts w:ascii="Arial" w:eastAsia="Arial" w:hAnsi="Arial" w:cs="Arial"/>
          <w:i/>
        </w:rPr>
        <w:t>mita a Secretaría General debidamente ordenados y clasificados con un oficio de remisión, todos los expedientes originales que obren en ese Departamento entre el año 2007 hasta el año 2020 sobre sentencias resultantes de impugnaciones del orden jurisdiccio</w:t>
      </w:r>
      <w:r>
        <w:rPr>
          <w:rFonts w:ascii="Arial" w:eastAsia="Arial" w:hAnsi="Arial" w:cs="Arial"/>
          <w:i/>
        </w:rPr>
        <w:t>nal contencioso-administrativo relativas al Plan General de Ordenación actualmente vigente publicado en el BOP de 17 de mayo de 2007 a los efectos de preparar el expediente con los informes técnicos y jurídicos correspondientes para su toma de conocimiento</w:t>
      </w:r>
      <w:r>
        <w:rPr>
          <w:rFonts w:ascii="Arial" w:eastAsia="Arial" w:hAnsi="Arial" w:cs="Arial"/>
          <w:i/>
        </w:rPr>
        <w:t xml:space="preserve"> por el Pleno ordinario de marzo y la ejecución y cumplimiento de dichas sentencias”.</w:t>
      </w:r>
      <w:r>
        <w:rPr>
          <w:rFonts w:ascii="Times New Roman" w:eastAsia="Times New Roman" w:hAnsi="Times New Roman" w:cs="Times New Roman"/>
          <w:sz w:val="24"/>
        </w:rPr>
        <w:t xml:space="preserve"> </w:t>
      </w:r>
    </w:p>
    <w:p w:rsidR="00FA7413" w:rsidRDefault="00D712A8">
      <w:pPr>
        <w:spacing w:after="0"/>
        <w:ind w:left="360"/>
      </w:pPr>
      <w:r>
        <w:rPr>
          <w:rFonts w:ascii="Arial" w:eastAsia="Arial" w:hAnsi="Arial" w:cs="Arial"/>
          <w:b/>
          <w:i/>
        </w:rPr>
        <w:t xml:space="preserve"> </w:t>
      </w:r>
    </w:p>
    <w:p w:rsidR="00FA7413" w:rsidRDefault="00D712A8">
      <w:pPr>
        <w:spacing w:after="11" w:line="248" w:lineRule="auto"/>
        <w:ind w:left="355" w:right="62" w:hanging="10"/>
        <w:jc w:val="both"/>
      </w:pPr>
      <w:r>
        <w:rPr>
          <w:rFonts w:ascii="Arial" w:eastAsia="Arial" w:hAnsi="Arial" w:cs="Arial"/>
          <w:b/>
        </w:rPr>
        <w:t xml:space="preserve">Los 7 concejales presentes tomaron conocimiento: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Los 4 concejales del Grupo Socialista: Doña Hilaria Cecilia Otazo González, Don José Francisco Pinto Ramos, Doña Ma</w:t>
      </w:r>
      <w:r>
        <w:rPr>
          <w:rFonts w:ascii="Arial" w:eastAsia="Arial" w:hAnsi="Arial" w:cs="Arial"/>
        </w:rPr>
        <w:t xml:space="preserve">ría del Carmen Clemente Díaz y Don Olegario Francisco Alonso Bello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La concejal del Grupo Popular, Doña Raquel Martín Castro.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 xml:space="preserve">La 2 concejalas del Grupo Mixto: Doña Lourdes del Carmen Mondéjar Rondón (SSP),  y Doña Ángela Cruz Perera (CC).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3516" w:hanging="10"/>
        <w:jc w:val="both"/>
      </w:pPr>
      <w:r>
        <w:rPr>
          <w:rFonts w:ascii="Arial" w:eastAsia="Arial" w:hAnsi="Arial" w:cs="Arial"/>
          <w:b/>
        </w:rPr>
        <w:t xml:space="preserve">JUNTA DE PORTAVOCES DE 21 DE JUNIO DE 2021  </w:t>
      </w:r>
      <w:r>
        <w:rPr>
          <w:rFonts w:ascii="Arial" w:eastAsia="Arial" w:hAnsi="Arial" w:cs="Arial"/>
        </w:rPr>
        <w:t xml:space="preserve">Quedó oída.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355" w:right="62" w:hanging="10"/>
        <w:jc w:val="both"/>
      </w:pPr>
      <w:r>
        <w:rPr>
          <w:rFonts w:ascii="Arial" w:eastAsia="Arial" w:hAnsi="Arial" w:cs="Arial"/>
          <w:b/>
        </w:rPr>
        <w:t xml:space="preserve">TOMA DE CONOCIMIENTO EN EL PLENO DE 24 DE JUNIO DE 2021.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Los 18 concejales presentes tomaron conocimiento: </w:t>
      </w:r>
    </w:p>
    <w:p w:rsidR="00FA7413" w:rsidRDefault="00D712A8">
      <w:pPr>
        <w:spacing w:after="0"/>
        <w:ind w:left="360"/>
      </w:pPr>
      <w:r>
        <w:rPr>
          <w:rFonts w:ascii="Arial" w:eastAsia="Arial" w:hAnsi="Arial" w:cs="Arial"/>
          <w:b/>
        </w:rPr>
        <w:t xml:space="preserve"> </w:t>
      </w:r>
    </w:p>
    <w:p w:rsidR="00FA7413" w:rsidRDefault="00D712A8">
      <w:pPr>
        <w:spacing w:after="109" w:line="248" w:lineRule="auto"/>
        <w:ind w:left="345" w:right="64" w:firstLine="708"/>
        <w:jc w:val="both"/>
      </w:pPr>
      <w:r>
        <w:rPr>
          <w:noProof/>
        </w:rPr>
        <mc:AlternateContent>
          <mc:Choice Requires="wpg">
            <w:drawing>
              <wp:anchor distT="0" distB="0" distL="114300" distR="114300" simplePos="0" relativeHeight="251708416"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06713" name="Group 206713"/>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7201" name="Rectangle 7201"/>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Cód. Validación: 946JAL4TJAGYNDDM76ZM7ZAYZ | Verificación: https://candelar</w:t>
                              </w:r>
                              <w:r>
                                <w:rPr>
                                  <w:rFonts w:ascii="Arial" w:eastAsia="Arial" w:hAnsi="Arial" w:cs="Arial"/>
                                  <w:sz w:val="12"/>
                                </w:rPr>
                                <w:t xml:space="preserve">ia.sedelectronica.es/ </w:t>
                              </w:r>
                            </w:p>
                          </w:txbxContent>
                        </wps:txbx>
                        <wps:bodyPr horzOverflow="overflow" vert="horz" lIns="0" tIns="0" rIns="0" bIns="0" rtlCol="0">
                          <a:noAutofit/>
                        </wps:bodyPr>
                      </wps:wsp>
                      <wps:wsp>
                        <wps:cNvPr id="7202" name="Rectangle 7202"/>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48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6713" style="width:12.7031pt;height:275.586pt;position:absolute;mso-position-horizontal-relative:page;mso-position-horizontal:absolute;margin-left:682.278pt;mso-position-vertical-relative:page;margin-top:536.334pt;" coordsize="1613,34999">
                <v:rect id="Rectangle 7201"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7202"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48 de 180 </w:t>
                        </w:r>
                      </w:p>
                    </w:txbxContent>
                  </v:textbox>
                </v:rect>
                <w10:wrap type="square"/>
              </v:group>
            </w:pict>
          </mc:Fallback>
        </mc:AlternateContent>
      </w:r>
      <w:r>
        <w:rPr>
          <w:rFonts w:ascii="Arial" w:eastAsia="Arial" w:hAnsi="Arial" w:cs="Arial"/>
        </w:rPr>
        <w:t>11 concejales del Grupo Socialista: Doña María Concepción Brito Núñez, Don Jorge Baute Delgado, Doña Olivia Concepción Pérez Díaz, Don Jo</w:t>
      </w:r>
      <w:r>
        <w:rPr>
          <w:rFonts w:ascii="Arial" w:eastAsia="Arial" w:hAnsi="Arial" w:cs="Arial"/>
        </w:rPr>
        <w:t>sé Francisco Pinto Ramos, Doña Hilaria Cecilia Otazo González, Don Airam Pérez Chinea, Doña Margarita Eva Tendero Barroso, Don Manuel Alberto González Pestano, Doña María del Carmen Clemente Díaz, Don Olegario Francisco Alonso Bello y Don Reinaldo José Tri</w:t>
      </w:r>
      <w:r>
        <w:rPr>
          <w:rFonts w:ascii="Arial" w:eastAsia="Arial" w:hAnsi="Arial" w:cs="Arial"/>
        </w:rPr>
        <w:t xml:space="preserve">viño Blanco. </w:t>
      </w:r>
    </w:p>
    <w:p w:rsidR="00FA7413" w:rsidRDefault="00D712A8">
      <w:pPr>
        <w:spacing w:after="109" w:line="248" w:lineRule="auto"/>
        <w:ind w:left="345" w:right="64" w:firstLine="708"/>
        <w:jc w:val="both"/>
      </w:pPr>
      <w:r>
        <w:rPr>
          <w:rFonts w:ascii="Arial" w:eastAsia="Arial" w:hAnsi="Arial" w:cs="Arial"/>
        </w:rPr>
        <w:t xml:space="preserve">3 concejales del Grupo Popular: Don Andrés Rodríguez Delgado, Don Jacobo López Fariña y Doña Raquel Martín Castro. </w:t>
      </w:r>
    </w:p>
    <w:p w:rsidR="00FA7413" w:rsidRDefault="00D712A8">
      <w:pPr>
        <w:spacing w:after="109" w:line="248" w:lineRule="auto"/>
        <w:ind w:left="345" w:right="64" w:firstLine="708"/>
        <w:jc w:val="both"/>
      </w:pPr>
      <w:r>
        <w:rPr>
          <w:rFonts w:ascii="Arial" w:eastAsia="Arial" w:hAnsi="Arial" w:cs="Arial"/>
        </w:rPr>
        <w:t>3 de los concejales del Grupo Mixto: Don Antonio Delgado García y Doña Lourdes del Carmen Mondéjar Rondón (SSP) y  Doña Ángela</w:t>
      </w:r>
      <w:r>
        <w:rPr>
          <w:rFonts w:ascii="Arial" w:eastAsia="Arial" w:hAnsi="Arial" w:cs="Arial"/>
        </w:rPr>
        <w:t xml:space="preserve"> Cruz Perera (CC). </w:t>
      </w:r>
    </w:p>
    <w:p w:rsidR="00FA7413" w:rsidRDefault="00D712A8">
      <w:pPr>
        <w:spacing w:after="109" w:line="248" w:lineRule="auto"/>
        <w:ind w:left="1078" w:right="64" w:hanging="10"/>
        <w:jc w:val="both"/>
      </w:pPr>
      <w:r>
        <w:rPr>
          <w:rFonts w:ascii="Arial" w:eastAsia="Arial" w:hAnsi="Arial" w:cs="Arial"/>
        </w:rPr>
        <w:t xml:space="preserve">1 de la concejal del Grupo Mixto (VxC): Doña Alicia Mercedes Marrero Meneses. </w:t>
      </w:r>
    </w:p>
    <w:p w:rsidR="00FA7413" w:rsidRDefault="00D712A8">
      <w:pPr>
        <w:spacing w:after="98"/>
        <w:ind w:left="1068"/>
      </w:pPr>
      <w:r>
        <w:rPr>
          <w:rFonts w:ascii="Arial" w:eastAsia="Arial" w:hAnsi="Arial" w:cs="Arial"/>
        </w:rPr>
        <w:t xml:space="preserve">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1789" w:right="62" w:hanging="10"/>
        <w:jc w:val="both"/>
      </w:pPr>
      <w:r>
        <w:rPr>
          <w:rFonts w:ascii="Arial" w:eastAsia="Arial" w:hAnsi="Arial" w:cs="Arial"/>
          <w:b/>
        </w:rPr>
        <w:t xml:space="preserve">ACUERDO DEL PLENO DE 24 DE JUNIO DE 2021. </w:t>
      </w:r>
    </w:p>
    <w:p w:rsidR="00FA7413" w:rsidRDefault="00D712A8">
      <w:pPr>
        <w:spacing w:after="95"/>
        <w:ind w:left="1068"/>
      </w:pPr>
      <w:r>
        <w:rPr>
          <w:rFonts w:ascii="Arial" w:eastAsia="Arial" w:hAnsi="Arial" w:cs="Arial"/>
        </w:rPr>
        <w:t xml:space="preserve">  </w:t>
      </w:r>
    </w:p>
    <w:p w:rsidR="00FA7413" w:rsidRDefault="00D712A8">
      <w:pPr>
        <w:spacing w:after="112" w:line="248" w:lineRule="auto"/>
        <w:ind w:left="345" w:right="62" w:firstLine="708"/>
        <w:jc w:val="both"/>
      </w:pPr>
      <w:r>
        <w:rPr>
          <w:rFonts w:ascii="Arial" w:eastAsia="Arial" w:hAnsi="Arial" w:cs="Arial"/>
          <w:b/>
        </w:rPr>
        <w:t xml:space="preserve">Primero. - </w:t>
      </w:r>
      <w:r>
        <w:rPr>
          <w:rFonts w:ascii="Arial" w:eastAsia="Arial" w:hAnsi="Arial" w:cs="Arial"/>
          <w:b/>
        </w:rPr>
        <w:t>Tomar conocimiento de la Sentencia de 2 de marzo de 2010 (Procedimiento ordinario 129/2007) de la Sala de lo Contencioso-Administrativo del Tribunal Superior de Justicia de Canarias (Sección Segunda. Santa Cruz de Tenerife) por la que se desestima el recur</w:t>
      </w:r>
      <w:r>
        <w:rPr>
          <w:rFonts w:ascii="Arial" w:eastAsia="Arial" w:hAnsi="Arial" w:cs="Arial"/>
          <w:b/>
        </w:rPr>
        <w:t>so interpuesto por Don Luis Javier Senante Mascareño contra el acuerdo de la Comisión de Ordenación del Territorio y Medio Ambiente de Canarias (COTMAC) del Gobierno de Canarias de 20 de julio de 2006 y de corrección de errores de 10 de noviembre de 2006 p</w:t>
      </w:r>
      <w:r>
        <w:rPr>
          <w:rFonts w:ascii="Arial" w:eastAsia="Arial" w:hAnsi="Arial" w:cs="Arial"/>
          <w:b/>
        </w:rPr>
        <w:t xml:space="preserve">or el que se aprobó definitivamente el Plan General de Ordenación Urbana del municipio de Candelaria (BOC de 8 de mayo y 10 de mayo de 2007). </w:t>
      </w:r>
    </w:p>
    <w:p w:rsidR="00FA7413" w:rsidRDefault="00D712A8">
      <w:pPr>
        <w:spacing w:after="100"/>
        <w:ind w:left="1068"/>
      </w:pPr>
      <w:r>
        <w:rPr>
          <w:rFonts w:ascii="Arial" w:eastAsia="Arial" w:hAnsi="Arial" w:cs="Arial"/>
          <w:b/>
        </w:rPr>
        <w:t xml:space="preserve"> </w:t>
      </w:r>
    </w:p>
    <w:p w:rsidR="00FA7413" w:rsidRDefault="00D712A8">
      <w:pPr>
        <w:spacing w:after="112" w:line="248" w:lineRule="auto"/>
        <w:ind w:left="1078" w:right="62" w:hanging="10"/>
        <w:jc w:val="both"/>
      </w:pPr>
      <w:r>
        <w:rPr>
          <w:rFonts w:ascii="Arial" w:eastAsia="Arial" w:hAnsi="Arial" w:cs="Arial"/>
          <w:b/>
        </w:rPr>
        <w:t xml:space="preserve">Segundo. - Notificación del presente acuerdo al interesado. </w:t>
      </w:r>
    </w:p>
    <w:p w:rsidR="00FA7413" w:rsidRDefault="00D712A8">
      <w:pPr>
        <w:spacing w:after="93" w:line="249" w:lineRule="auto"/>
        <w:ind w:left="355" w:right="66" w:hanging="10"/>
        <w:jc w:val="both"/>
      </w:pPr>
      <w:r>
        <w:rPr>
          <w:rFonts w:ascii="Arial" w:eastAsia="Arial" w:hAnsi="Arial" w:cs="Arial"/>
          <w:b/>
          <w:sz w:val="24"/>
        </w:rPr>
        <w:t xml:space="preserve">9.- </w:t>
      </w:r>
      <w:r>
        <w:rPr>
          <w:rFonts w:ascii="Arial" w:eastAsia="Arial" w:hAnsi="Arial" w:cs="Arial"/>
          <w:b/>
          <w:sz w:val="24"/>
        </w:rPr>
        <w:t>Expediente 2282/2020. Toma de conocimiento de la sentencia del Tribunal Superior de Justicia de Canarias de fecha 15 de marzo de 2010 por la que se desestima el recurso interpuesto por Don Francisco Ramón García Díaz, Doña Guadalupe García Miguel y Don Jos</w:t>
      </w:r>
      <w:r>
        <w:rPr>
          <w:rFonts w:ascii="Arial" w:eastAsia="Arial" w:hAnsi="Arial" w:cs="Arial"/>
          <w:b/>
          <w:sz w:val="24"/>
        </w:rPr>
        <w:t>é Amaranto Caballero Mesa contra el PGO de Candelaria.</w:t>
      </w:r>
      <w:r>
        <w:rPr>
          <w:rFonts w:ascii="Arial" w:eastAsia="Arial" w:hAnsi="Arial" w:cs="Arial"/>
        </w:rPr>
        <w:t xml:space="preserve"> </w:t>
      </w:r>
    </w:p>
    <w:p w:rsidR="00FA7413" w:rsidRDefault="00D712A8">
      <w:pPr>
        <w:spacing w:after="101"/>
        <w:ind w:left="360"/>
      </w:pPr>
      <w:r>
        <w:rPr>
          <w:rFonts w:ascii="Arial" w:eastAsia="Arial" w:hAnsi="Arial" w:cs="Arial"/>
          <w:b/>
        </w:rPr>
        <w:t xml:space="preserve"> </w:t>
      </w:r>
    </w:p>
    <w:p w:rsidR="00FA7413" w:rsidRDefault="00D712A8">
      <w:pPr>
        <w:spacing w:after="112" w:line="248" w:lineRule="auto"/>
        <w:ind w:left="355" w:right="62" w:hanging="10"/>
        <w:jc w:val="both"/>
      </w:pPr>
      <w:r>
        <w:rPr>
          <w:rFonts w:ascii="Arial" w:eastAsia="Arial" w:hAnsi="Arial" w:cs="Arial"/>
          <w:b/>
        </w:rPr>
        <w:t xml:space="preserve">   Consta en el expediente Informe Jurídico emitido por Don Octavio Manuel Fernández Hernández, que desempeña el puesto de trabajo de Secretario General, de 14 de junio de 2021, </w:t>
      </w:r>
      <w:r>
        <w:rPr>
          <w:rFonts w:ascii="Arial" w:eastAsia="Arial" w:hAnsi="Arial" w:cs="Arial"/>
          <w:b/>
        </w:rPr>
        <w:t>del siguiente tenor literal:</w:t>
      </w:r>
      <w:r>
        <w:rPr>
          <w:rFonts w:ascii="Arial" w:eastAsia="Arial" w:hAnsi="Arial" w:cs="Arial"/>
        </w:rPr>
        <w:t xml:space="preserve"> </w:t>
      </w:r>
    </w:p>
    <w:p w:rsidR="00FA7413" w:rsidRDefault="00D712A8">
      <w:pPr>
        <w:spacing w:after="100"/>
        <w:ind w:left="360"/>
      </w:pPr>
      <w:r>
        <w:rPr>
          <w:rFonts w:ascii="Arial" w:eastAsia="Arial" w:hAnsi="Arial" w:cs="Arial"/>
          <w:b/>
        </w:rPr>
        <w:t xml:space="preserve"> </w:t>
      </w:r>
    </w:p>
    <w:p w:rsidR="00FA7413" w:rsidRDefault="00D712A8">
      <w:pPr>
        <w:spacing w:after="107"/>
        <w:ind w:left="360"/>
      </w:pPr>
      <w:r>
        <w:rPr>
          <w:rFonts w:ascii="Arial" w:eastAsia="Arial" w:hAnsi="Arial" w:cs="Arial"/>
        </w:rPr>
        <w:t xml:space="preserve"> </w:t>
      </w:r>
    </w:p>
    <w:p w:rsidR="00FA7413" w:rsidRDefault="00D712A8">
      <w:pPr>
        <w:spacing w:after="0" w:line="352" w:lineRule="auto"/>
        <w:ind w:left="1068" w:right="1798" w:firstLine="1670"/>
        <w:jc w:val="both"/>
      </w:pPr>
      <w:r>
        <w:rPr>
          <w:rFonts w:ascii="Arial" w:eastAsia="Arial" w:hAnsi="Arial" w:cs="Arial"/>
          <w:b/>
        </w:rPr>
        <w:t xml:space="preserve">                 “INFORME JURÍDICO                          </w:t>
      </w:r>
      <w:r>
        <w:rPr>
          <w:rFonts w:ascii="Arial" w:eastAsia="Arial" w:hAnsi="Arial" w:cs="Arial"/>
        </w:rPr>
        <w:t xml:space="preserve"> </w:t>
      </w:r>
      <w:r>
        <w:rPr>
          <w:rFonts w:ascii="Arial" w:eastAsia="Arial" w:hAnsi="Arial" w:cs="Arial"/>
          <w:b/>
        </w:rPr>
        <w:t xml:space="preserve">Visto el expediente antedicho, se emite el siguiente informe: </w:t>
      </w:r>
    </w:p>
    <w:p w:rsidR="00FA7413" w:rsidRDefault="00D712A8">
      <w:pPr>
        <w:spacing w:after="109" w:line="248" w:lineRule="auto"/>
        <w:ind w:left="345" w:right="64" w:firstLine="708"/>
        <w:jc w:val="both"/>
      </w:pPr>
      <w:r>
        <w:rPr>
          <w:rFonts w:ascii="Arial" w:eastAsia="Arial" w:hAnsi="Arial" w:cs="Arial"/>
          <w:b/>
        </w:rPr>
        <w:t xml:space="preserve">Primero. - </w:t>
      </w:r>
      <w:r>
        <w:rPr>
          <w:rFonts w:ascii="Arial" w:eastAsia="Arial" w:hAnsi="Arial" w:cs="Arial"/>
        </w:rPr>
        <w:t>Por Acuerdo de la Comisión de Ordenación del Territorio y Medio Ambiente de Canarias (C</w:t>
      </w:r>
      <w:r>
        <w:rPr>
          <w:rFonts w:ascii="Arial" w:eastAsia="Arial" w:hAnsi="Arial" w:cs="Arial"/>
        </w:rPr>
        <w:t xml:space="preserve">OTMAC) del Gobierno de Canarias de 20 de julio de 2006 y de corrección de errores de 10 de noviembre de 2006 se aprobó definitivamente el Plan General de Ordenación Urbana del municipio de Candelaria (BOC de 8 de mayo y 10 de mayo de 2007) (BOP 17 de mayo </w:t>
      </w:r>
      <w:r>
        <w:rPr>
          <w:rFonts w:ascii="Arial" w:eastAsia="Arial" w:hAnsi="Arial" w:cs="Arial"/>
        </w:rPr>
        <w:t xml:space="preserve">de 2007) </w:t>
      </w:r>
    </w:p>
    <w:p w:rsidR="00FA7413" w:rsidRDefault="00D712A8">
      <w:pPr>
        <w:spacing w:after="109" w:line="248" w:lineRule="auto"/>
        <w:ind w:left="345" w:right="64" w:firstLine="708"/>
        <w:jc w:val="both"/>
      </w:pPr>
      <w:r>
        <w:rPr>
          <w:noProof/>
        </w:rPr>
        <mc:AlternateContent>
          <mc:Choice Requires="wpg">
            <w:drawing>
              <wp:anchor distT="0" distB="0" distL="114300" distR="114300" simplePos="0" relativeHeight="251709440"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07477" name="Group 207477"/>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7358" name="Rectangle 7358"/>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7359" name="Rectangle 7359"/>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49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7477" style="width:12.7031pt;height:275.586pt;position:absolute;mso-position-horizontal-relative:page;mso-position-horizontal:absolute;margin-left:682.278pt;mso-position-vertical-relative:page;margin-top:536.334pt;" coordsize="1613,34999">
                <v:rect id="Rectangle 7358"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7359"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49 de 180 </w:t>
                        </w:r>
                      </w:p>
                    </w:txbxContent>
                  </v:textbox>
                </v:rect>
                <w10:wrap type="square"/>
              </v:group>
            </w:pict>
          </mc:Fallback>
        </mc:AlternateContent>
      </w:r>
      <w:r>
        <w:rPr>
          <w:rFonts w:ascii="Arial" w:eastAsia="Arial" w:hAnsi="Arial" w:cs="Arial"/>
          <w:b/>
        </w:rPr>
        <w:t>Segundo. -</w:t>
      </w:r>
      <w:r>
        <w:rPr>
          <w:rFonts w:ascii="Arial" w:eastAsia="Arial" w:hAnsi="Arial" w:cs="Arial"/>
        </w:rPr>
        <w:t xml:space="preserve"> Que se interpuso recurso contencioso-a</w:t>
      </w:r>
      <w:r>
        <w:rPr>
          <w:rFonts w:ascii="Arial" w:eastAsia="Arial" w:hAnsi="Arial" w:cs="Arial"/>
        </w:rPr>
        <w:t xml:space="preserve">dministrativo contra el acuerdo mencionado en el punto primero por D. José Amaranto Caballero Mesa, Francisco Ramón García Díaz y Guadalupe García Miguel </w:t>
      </w:r>
    </w:p>
    <w:p w:rsidR="00FA7413" w:rsidRDefault="00D712A8">
      <w:pPr>
        <w:spacing w:after="109" w:line="248" w:lineRule="auto"/>
        <w:ind w:left="355" w:right="64" w:hanging="10"/>
        <w:jc w:val="both"/>
      </w:pPr>
      <w:r>
        <w:rPr>
          <w:rFonts w:ascii="Arial" w:eastAsia="Arial" w:hAnsi="Arial" w:cs="Arial"/>
          <w:b/>
        </w:rPr>
        <w:t xml:space="preserve"> </w:t>
      </w:r>
      <w:r>
        <w:rPr>
          <w:rFonts w:ascii="Arial" w:eastAsia="Arial" w:hAnsi="Arial" w:cs="Arial"/>
          <w:b/>
        </w:rPr>
        <w:tab/>
        <w:t xml:space="preserve">Tercero. - </w:t>
      </w:r>
      <w:r>
        <w:rPr>
          <w:rFonts w:ascii="Arial" w:eastAsia="Arial" w:hAnsi="Arial" w:cs="Arial"/>
        </w:rPr>
        <w:t>Que consta en el expediente sentencia que ha remitido Servicios Generales a la Secretarí</w:t>
      </w:r>
      <w:r>
        <w:rPr>
          <w:rFonts w:ascii="Arial" w:eastAsia="Arial" w:hAnsi="Arial" w:cs="Arial"/>
        </w:rPr>
        <w:t xml:space="preserve">a General con fecha 26 de febrero de 2020: </w:t>
      </w:r>
    </w:p>
    <w:p w:rsidR="00FA7413" w:rsidRDefault="00D712A8">
      <w:pPr>
        <w:spacing w:after="109" w:line="248" w:lineRule="auto"/>
        <w:ind w:left="355" w:right="64" w:hanging="10"/>
        <w:jc w:val="both"/>
      </w:pPr>
      <w:r>
        <w:rPr>
          <w:rFonts w:ascii="Arial" w:eastAsia="Arial" w:hAnsi="Arial" w:cs="Arial"/>
        </w:rPr>
        <w:t xml:space="preserve">Sentencia 20/2010 de 15 de marzo. Procedimiento ordinario 115/2007. Sala de lo ContenciosoAdministrativo del Tribunal Superior de Justicia de Canarias. Sección Segunda. Santa Cruz de Tenerife. </w:t>
      </w:r>
    </w:p>
    <w:p w:rsidR="00FA7413" w:rsidRDefault="00D712A8">
      <w:pPr>
        <w:spacing w:after="112" w:line="247" w:lineRule="auto"/>
        <w:ind w:left="355" w:right="62" w:hanging="10"/>
        <w:jc w:val="both"/>
      </w:pPr>
      <w:r>
        <w:rPr>
          <w:rFonts w:ascii="Arial" w:eastAsia="Arial" w:hAnsi="Arial" w:cs="Arial"/>
        </w:rPr>
        <w:t>Fallo:</w:t>
      </w:r>
      <w:r>
        <w:rPr>
          <w:rFonts w:ascii="Arial" w:eastAsia="Arial" w:hAnsi="Arial" w:cs="Arial"/>
          <w:i/>
        </w:rPr>
        <w:t xml:space="preserve"> </w:t>
      </w:r>
      <w:r>
        <w:rPr>
          <w:rFonts w:ascii="Arial" w:eastAsia="Arial" w:hAnsi="Arial" w:cs="Arial"/>
          <w:i/>
        </w:rPr>
        <w:t>Desestimar el recurso contra la resolución ya mencionadas en el encabezamiento de la sentencia declarando no haber lugar a las pretensiones de la demanda, sin costas.</w:t>
      </w:r>
      <w:r>
        <w:rPr>
          <w:rFonts w:ascii="Arial" w:eastAsia="Arial" w:hAnsi="Arial" w:cs="Arial"/>
        </w:rPr>
        <w:t xml:space="preserve"> </w:t>
      </w:r>
    </w:p>
    <w:p w:rsidR="00FA7413" w:rsidRDefault="00D712A8">
      <w:pPr>
        <w:spacing w:after="100"/>
        <w:ind w:left="2487"/>
      </w:pPr>
      <w:r>
        <w:rPr>
          <w:rFonts w:ascii="Arial" w:eastAsia="Arial" w:hAnsi="Arial" w:cs="Arial"/>
          <w:b/>
        </w:rPr>
        <w:t xml:space="preserve"> </w:t>
      </w:r>
    </w:p>
    <w:p w:rsidR="00FA7413" w:rsidRDefault="00D712A8">
      <w:pPr>
        <w:spacing w:after="152" w:line="248" w:lineRule="auto"/>
        <w:ind w:left="345" w:right="62" w:firstLine="708"/>
        <w:jc w:val="both"/>
      </w:pPr>
      <w:r>
        <w:rPr>
          <w:rFonts w:ascii="Arial" w:eastAsia="Arial" w:hAnsi="Arial" w:cs="Arial"/>
          <w:b/>
        </w:rPr>
        <w:t>Cuarto. - Que con fecha 7 de junio de 2021 ha tenido entrada en el Ayuntamiento de Can</w:t>
      </w:r>
      <w:r>
        <w:rPr>
          <w:rFonts w:ascii="Arial" w:eastAsia="Arial" w:hAnsi="Arial" w:cs="Arial"/>
          <w:b/>
        </w:rPr>
        <w:t xml:space="preserve">delaria, el oficio del Gobierno de Canarias que en relación al presente expediente dice: </w:t>
      </w:r>
    </w:p>
    <w:p w:rsidR="00FA7413" w:rsidRDefault="00D712A8">
      <w:pPr>
        <w:spacing w:after="112" w:line="247" w:lineRule="auto"/>
        <w:ind w:left="355" w:right="62" w:hanging="10"/>
        <w:jc w:val="both"/>
      </w:pPr>
      <w:r>
        <w:rPr>
          <w:rFonts w:ascii="Arial" w:eastAsia="Arial" w:hAnsi="Arial" w:cs="Arial"/>
          <w:b/>
        </w:rPr>
        <w:t xml:space="preserve"> </w:t>
      </w:r>
      <w:r>
        <w:rPr>
          <w:rFonts w:ascii="Arial" w:eastAsia="Arial" w:hAnsi="Arial" w:cs="Arial"/>
          <w:i/>
        </w:rPr>
        <w:t xml:space="preserve">“En los casos de las sentencias de los expedientes número 2252/2020, 2280/2020, 2257/2020, 2254/2020, 2284/2020 y 2282/2020 dado que se refieren a procedimientos en </w:t>
      </w:r>
      <w:r>
        <w:rPr>
          <w:rFonts w:ascii="Arial" w:eastAsia="Arial" w:hAnsi="Arial" w:cs="Arial"/>
          <w:i/>
        </w:rPr>
        <w:t>los que los recursos interpuestos han sido desestimados por considerarse que el acto recurrido es ajustado a derecho, no se requiere de actuación alguna tendente a la ejecución de su fallo.</w:t>
      </w:r>
      <w:r>
        <w:rPr>
          <w:rFonts w:ascii="Arial" w:eastAsia="Arial" w:hAnsi="Arial" w:cs="Arial"/>
        </w:rPr>
        <w:t xml:space="preserve"> </w:t>
      </w:r>
    </w:p>
    <w:p w:rsidR="00FA7413" w:rsidRDefault="00D712A8">
      <w:pPr>
        <w:spacing w:after="112" w:line="247" w:lineRule="auto"/>
        <w:ind w:left="355" w:right="62" w:hanging="10"/>
        <w:jc w:val="both"/>
      </w:pPr>
      <w:r>
        <w:rPr>
          <w:rFonts w:ascii="Arial" w:eastAsia="Arial" w:hAnsi="Arial" w:cs="Arial"/>
          <w:i/>
        </w:rPr>
        <w:t xml:space="preserve"> La labor de ejecución en estos casos se reduce a una actuación f</w:t>
      </w:r>
      <w:r>
        <w:rPr>
          <w:rFonts w:ascii="Arial" w:eastAsia="Arial" w:hAnsi="Arial" w:cs="Arial"/>
          <w:i/>
        </w:rPr>
        <w:t xml:space="preserve">ormal de toma de conocimiento de la sentencia por parte del órgano competente, sin que se requiera de la realización de ninguna otra actividad material de ejecución. </w:t>
      </w:r>
    </w:p>
    <w:p w:rsidR="00FA7413" w:rsidRDefault="00D712A8">
      <w:pPr>
        <w:spacing w:after="112" w:line="247" w:lineRule="auto"/>
        <w:ind w:left="355" w:right="62" w:hanging="10"/>
        <w:jc w:val="both"/>
      </w:pPr>
      <w:r>
        <w:rPr>
          <w:rFonts w:ascii="Arial" w:eastAsia="Arial" w:hAnsi="Arial" w:cs="Arial"/>
          <w:i/>
        </w:rPr>
        <w:t xml:space="preserve"> Dicha actuación ha sido llevada a cabo en la forma expuesta en el apartado anterior, por</w:t>
      </w:r>
      <w:r>
        <w:rPr>
          <w:rFonts w:ascii="Arial" w:eastAsia="Arial" w:hAnsi="Arial" w:cs="Arial"/>
          <w:i/>
        </w:rPr>
        <w:t xml:space="preserve"> lo que la ejecución de estas sentencias ha de darse por concluida desde el mismo momento en que la Comisión de Ordenación del</w:t>
      </w:r>
      <w:r>
        <w:rPr>
          <w:rFonts w:ascii="Arial" w:eastAsia="Arial" w:hAnsi="Arial" w:cs="Arial"/>
          <w:b/>
          <w:i/>
        </w:rPr>
        <w:t xml:space="preserve"> </w:t>
      </w:r>
      <w:r>
        <w:rPr>
          <w:rFonts w:ascii="Arial" w:eastAsia="Arial" w:hAnsi="Arial" w:cs="Arial"/>
          <w:i/>
        </w:rPr>
        <w:t>Territorio y Medio Ambiente de Canarias tomó conocimiento de ellas y lo comunicó al Ayuntamiento”.</w:t>
      </w:r>
      <w:r>
        <w:rPr>
          <w:rFonts w:ascii="Arial" w:eastAsia="Arial" w:hAnsi="Arial" w:cs="Arial"/>
        </w:rPr>
        <w:t xml:space="preserve"> </w:t>
      </w:r>
    </w:p>
    <w:p w:rsidR="00FA7413" w:rsidRDefault="00D712A8">
      <w:pPr>
        <w:spacing w:after="95"/>
        <w:ind w:left="360"/>
      </w:pPr>
      <w:r>
        <w:rPr>
          <w:rFonts w:ascii="Arial" w:eastAsia="Arial" w:hAnsi="Arial" w:cs="Arial"/>
          <w:i/>
        </w:rPr>
        <w:t xml:space="preserve"> </w:t>
      </w:r>
    </w:p>
    <w:p w:rsidR="00FA7413" w:rsidRDefault="00D712A8">
      <w:pPr>
        <w:spacing w:after="112" w:line="248" w:lineRule="auto"/>
        <w:ind w:left="3208" w:right="62" w:hanging="10"/>
        <w:jc w:val="both"/>
      </w:pPr>
      <w:r>
        <w:rPr>
          <w:rFonts w:ascii="Arial" w:eastAsia="Arial" w:hAnsi="Arial" w:cs="Arial"/>
          <w:b/>
        </w:rPr>
        <w:t xml:space="preserve">Fundamentos de derecho   </w:t>
      </w:r>
    </w:p>
    <w:p w:rsidR="00FA7413" w:rsidRDefault="00D712A8">
      <w:pPr>
        <w:spacing w:after="112" w:line="248" w:lineRule="auto"/>
        <w:ind w:left="355" w:right="62" w:hanging="10"/>
        <w:jc w:val="both"/>
      </w:pPr>
      <w:r>
        <w:rPr>
          <w:rFonts w:ascii="Arial" w:eastAsia="Arial" w:hAnsi="Arial" w:cs="Arial"/>
          <w:b/>
        </w:rPr>
        <w:t xml:space="preserve"> </w:t>
      </w:r>
      <w:r>
        <w:rPr>
          <w:rFonts w:ascii="Arial" w:eastAsia="Arial" w:hAnsi="Arial" w:cs="Arial"/>
          <w:b/>
        </w:rPr>
        <w:t xml:space="preserve">Primero. - Es de aplicación lo dispuesto en el artículo 118 de la constitución que establece: </w:t>
      </w:r>
    </w:p>
    <w:p w:rsidR="00FA7413" w:rsidRDefault="00D712A8">
      <w:pPr>
        <w:spacing w:after="112" w:line="247" w:lineRule="auto"/>
        <w:ind w:left="345" w:right="62" w:firstLine="708"/>
        <w:jc w:val="both"/>
      </w:pPr>
      <w:r>
        <w:rPr>
          <w:rFonts w:ascii="Arial" w:eastAsia="Arial" w:hAnsi="Arial" w:cs="Arial"/>
          <w:i/>
        </w:rPr>
        <w:t>Es obligado cumplir las sentencias y demás resoluciones firmes de los Jueces y Tribunales, así como prestar la colaboración requerida por éstos en el curso del p</w:t>
      </w:r>
      <w:r>
        <w:rPr>
          <w:rFonts w:ascii="Arial" w:eastAsia="Arial" w:hAnsi="Arial" w:cs="Arial"/>
          <w:i/>
        </w:rPr>
        <w:t>roceso y en la ejecución de lo resuelto</w:t>
      </w:r>
      <w:r>
        <w:rPr>
          <w:rFonts w:ascii="Arial" w:eastAsia="Arial" w:hAnsi="Arial" w:cs="Arial"/>
        </w:rPr>
        <w:t xml:space="preserve">. </w:t>
      </w:r>
    </w:p>
    <w:p w:rsidR="00FA7413" w:rsidRDefault="00D712A8">
      <w:pPr>
        <w:spacing w:after="112" w:line="248" w:lineRule="auto"/>
        <w:ind w:left="345" w:right="62" w:firstLine="708"/>
        <w:jc w:val="both"/>
      </w:pPr>
      <w:r>
        <w:rPr>
          <w:rFonts w:ascii="Arial" w:eastAsia="Arial" w:hAnsi="Arial" w:cs="Arial"/>
          <w:b/>
        </w:rPr>
        <w:t xml:space="preserve">Segundo. - Es de aplicación lo dispuesto en el artículo 103.2 de la Ley 29/1998, de 13 de julio, de la Jurisdicción Contencioso-Administrativa que establece: </w:t>
      </w:r>
    </w:p>
    <w:p w:rsidR="00FA7413" w:rsidRDefault="00D712A8">
      <w:pPr>
        <w:spacing w:after="112" w:line="247" w:lineRule="auto"/>
        <w:ind w:left="345" w:right="62" w:firstLine="708"/>
        <w:jc w:val="both"/>
      </w:pPr>
      <w:r>
        <w:rPr>
          <w:rFonts w:ascii="Arial" w:eastAsia="Arial" w:hAnsi="Arial" w:cs="Arial"/>
          <w:i/>
        </w:rPr>
        <w:t>2. Las partes están obligadas a cumplir las sentencias en la forma y términos que en éstas se consignen</w:t>
      </w:r>
      <w:r>
        <w:rPr>
          <w:rFonts w:ascii="Arial" w:eastAsia="Arial" w:hAnsi="Arial" w:cs="Arial"/>
        </w:rPr>
        <w:t xml:space="preserve"> </w:t>
      </w:r>
    </w:p>
    <w:p w:rsidR="00FA7413" w:rsidRDefault="00D712A8">
      <w:pPr>
        <w:spacing w:after="100"/>
        <w:ind w:left="1068"/>
      </w:pPr>
      <w:r>
        <w:rPr>
          <w:rFonts w:ascii="Arial" w:eastAsia="Arial" w:hAnsi="Arial" w:cs="Arial"/>
          <w:b/>
        </w:rPr>
        <w:t xml:space="preserve"> </w:t>
      </w:r>
    </w:p>
    <w:p w:rsidR="00FA7413" w:rsidRDefault="00D712A8">
      <w:pPr>
        <w:tabs>
          <w:tab w:val="center" w:pos="360"/>
          <w:tab w:val="center" w:pos="1068"/>
          <w:tab w:val="center" w:pos="1776"/>
          <w:tab w:val="center" w:pos="4380"/>
        </w:tabs>
        <w:spacing w:after="112" w:line="248" w:lineRule="auto"/>
      </w:pPr>
      <w:r>
        <w:tab/>
      </w:r>
      <w:r>
        <w:rPr>
          <w:rFonts w:ascii="Arial" w:eastAsia="Arial" w:hAnsi="Arial" w:cs="Arial"/>
          <w:b/>
        </w:rPr>
        <w:t xml:space="preserve"> </w:t>
      </w:r>
      <w:r>
        <w:rPr>
          <w:rFonts w:ascii="Arial" w:eastAsia="Arial" w:hAnsi="Arial" w:cs="Arial"/>
          <w:b/>
        </w:rPr>
        <w:tab/>
        <w:t xml:space="preserve"> </w:t>
      </w:r>
      <w:r>
        <w:rPr>
          <w:rFonts w:ascii="Arial" w:eastAsia="Arial" w:hAnsi="Arial" w:cs="Arial"/>
          <w:b/>
        </w:rPr>
        <w:tab/>
        <w:t xml:space="preserve"> </w:t>
      </w:r>
      <w:r>
        <w:rPr>
          <w:rFonts w:ascii="Arial" w:eastAsia="Arial" w:hAnsi="Arial" w:cs="Arial"/>
          <w:b/>
        </w:rPr>
        <w:tab/>
        <w:t xml:space="preserve">         PROPUESTA DE RESOLUCIÓN  </w:t>
      </w:r>
    </w:p>
    <w:p w:rsidR="00FA7413" w:rsidRDefault="00D712A8">
      <w:pPr>
        <w:spacing w:after="112" w:line="248" w:lineRule="auto"/>
        <w:ind w:left="1078" w:right="62" w:hanging="10"/>
        <w:jc w:val="both"/>
      </w:pPr>
      <w:r>
        <w:rPr>
          <w:rFonts w:ascii="Arial" w:eastAsia="Arial" w:hAnsi="Arial" w:cs="Arial"/>
          <w:b/>
        </w:rPr>
        <w:t xml:space="preserve">Por lo expuesto se eleva la siguiente propuesta al Pleno </w:t>
      </w:r>
    </w:p>
    <w:p w:rsidR="00FA7413" w:rsidRDefault="00D712A8">
      <w:pPr>
        <w:spacing w:after="103"/>
        <w:ind w:left="360"/>
      </w:pPr>
      <w:r>
        <w:rPr>
          <w:rFonts w:ascii="Arial" w:eastAsia="Arial" w:hAnsi="Arial" w:cs="Arial"/>
          <w:b/>
        </w:rPr>
        <w:t xml:space="preserve"> </w:t>
      </w:r>
    </w:p>
    <w:p w:rsidR="00FA7413" w:rsidRDefault="00D712A8">
      <w:pPr>
        <w:spacing w:after="109" w:line="248" w:lineRule="auto"/>
        <w:ind w:left="345" w:right="64" w:firstLine="708"/>
        <w:jc w:val="both"/>
      </w:pPr>
      <w:r>
        <w:rPr>
          <w:noProof/>
        </w:rPr>
        <mc:AlternateContent>
          <mc:Choice Requires="wpg">
            <w:drawing>
              <wp:anchor distT="0" distB="0" distL="114300" distR="114300" simplePos="0" relativeHeight="251710464"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07329" name="Group 207329"/>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7511" name="Rectangle 7511"/>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7512" name="Rectangle 7512"/>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50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7329" style="width:12.7031pt;height:275.586pt;position:absolute;mso-position-horizontal-relative:page;mso-position-horizontal:absolute;margin-left:682.278pt;mso-position-vertical-relative:page;margin-top:536.334pt;" coordsize="1613,34999">
                <v:rect id="Rectangle 7511"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7512"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50 de 180 </w:t>
                        </w:r>
                      </w:p>
                    </w:txbxContent>
                  </v:textbox>
                </v:rect>
                <w10:wrap type="square"/>
              </v:group>
            </w:pict>
          </mc:Fallback>
        </mc:AlternateContent>
      </w:r>
      <w:r>
        <w:rPr>
          <w:rFonts w:ascii="Arial" w:eastAsia="Arial" w:hAnsi="Arial" w:cs="Arial"/>
        </w:rPr>
        <w:t>Primero. - Tomar conocimiento de la Sentencia de 15 de marzo d</w:t>
      </w:r>
      <w:r>
        <w:rPr>
          <w:rFonts w:ascii="Arial" w:eastAsia="Arial" w:hAnsi="Arial" w:cs="Arial"/>
        </w:rPr>
        <w:t>e 2010 (Procedimiento ordinario 115/2007) de la Sala de lo Contencioso-Administrativo del Tribunal Superior de Justicia de Canarias (Sección Segunda. Santa Cruz de Tenerife) por la que se desestima el recurso interpuesto por D. José Amaranto Caballero Mesa</w:t>
      </w:r>
      <w:r>
        <w:rPr>
          <w:rFonts w:ascii="Arial" w:eastAsia="Arial" w:hAnsi="Arial" w:cs="Arial"/>
        </w:rPr>
        <w:t>, Francisco Ramón García Díaz y Guadalupe García Miguel contra el acuerdo de la Comisión de Ordenación del Territorio y Medio Ambiente de Canarias (COTMAC) del Gobierno de Canarias de 20 de julio de 2006 y de corrección de errores de 10 de noviembre de 200</w:t>
      </w:r>
      <w:r>
        <w:rPr>
          <w:rFonts w:ascii="Arial" w:eastAsia="Arial" w:hAnsi="Arial" w:cs="Arial"/>
        </w:rPr>
        <w:t xml:space="preserve">6 por el que se aprobó definitivamente el Plan General de Ordenación Urbana del municipio de Candelaria (BOC de 8 de mayo y 10 de mayo de 2007). </w:t>
      </w:r>
    </w:p>
    <w:p w:rsidR="00FA7413" w:rsidRDefault="00D712A8">
      <w:pPr>
        <w:spacing w:after="129"/>
        <w:ind w:left="360"/>
      </w:pPr>
      <w:r>
        <w:rPr>
          <w:rFonts w:ascii="Arial" w:eastAsia="Arial" w:hAnsi="Arial" w:cs="Arial"/>
        </w:rPr>
        <w:t xml:space="preserve"> </w:t>
      </w:r>
    </w:p>
    <w:p w:rsidR="00FA7413" w:rsidRDefault="00D712A8">
      <w:pPr>
        <w:spacing w:after="109" w:line="248" w:lineRule="auto"/>
        <w:ind w:left="1078" w:right="64" w:hanging="10"/>
        <w:jc w:val="both"/>
      </w:pPr>
      <w:r>
        <w:rPr>
          <w:rFonts w:ascii="Arial" w:eastAsia="Arial" w:hAnsi="Arial" w:cs="Arial"/>
        </w:rPr>
        <w:t xml:space="preserve">Segundo. - Notificar el presente acuerdo a los interesados.” </w:t>
      </w:r>
    </w:p>
    <w:p w:rsidR="00FA7413" w:rsidRDefault="00D712A8">
      <w:pPr>
        <w:spacing w:after="98"/>
        <w:ind w:left="1068"/>
      </w:pPr>
      <w:r>
        <w:rPr>
          <w:rFonts w:ascii="Arial" w:eastAsia="Arial" w:hAnsi="Arial" w:cs="Arial"/>
        </w:rPr>
        <w:t xml:space="preserve"> </w:t>
      </w:r>
    </w:p>
    <w:p w:rsidR="00FA7413" w:rsidRDefault="00D712A8">
      <w:pPr>
        <w:spacing w:after="98"/>
        <w:ind w:left="1068"/>
      </w:pPr>
      <w:r>
        <w:rPr>
          <w:rFonts w:ascii="Arial" w:eastAsia="Arial" w:hAnsi="Arial" w:cs="Arial"/>
        </w:rPr>
        <w:t xml:space="preserve"> </w:t>
      </w:r>
    </w:p>
    <w:p w:rsidR="00FA7413" w:rsidRDefault="00D712A8">
      <w:pPr>
        <w:spacing w:after="0" w:line="248" w:lineRule="auto"/>
        <w:ind w:left="355" w:right="62" w:hanging="10"/>
        <w:jc w:val="both"/>
      </w:pPr>
      <w:r>
        <w:rPr>
          <w:rFonts w:ascii="Arial" w:eastAsia="Arial" w:hAnsi="Arial" w:cs="Arial"/>
          <w:b/>
        </w:rPr>
        <w:t xml:space="preserve">   </w:t>
      </w:r>
      <w:r>
        <w:rPr>
          <w:rFonts w:ascii="Arial" w:eastAsia="Arial" w:hAnsi="Arial" w:cs="Arial"/>
          <w:b/>
        </w:rPr>
        <w:t xml:space="preserve">Consta en el expediente propuesta de la Alcaldesa-Presidenta, de fecha 15 de junio de 2021, cuyo tenor literal es el siguiente: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112" w:line="248" w:lineRule="auto"/>
        <w:ind w:left="1078" w:right="62" w:hanging="10"/>
        <w:jc w:val="both"/>
      </w:pPr>
      <w:r>
        <w:rPr>
          <w:rFonts w:ascii="Arial" w:eastAsia="Arial" w:hAnsi="Arial" w:cs="Arial"/>
          <w:b/>
        </w:rPr>
        <w:t xml:space="preserve">   “PROPUESTA DE LA ALCALDÍA-PRESIDENCIA AL PLENO </w:t>
      </w:r>
    </w:p>
    <w:p w:rsidR="00FA7413" w:rsidRDefault="00D712A8">
      <w:pPr>
        <w:spacing w:after="112" w:line="248" w:lineRule="auto"/>
        <w:ind w:left="355" w:right="62" w:hanging="10"/>
        <w:jc w:val="both"/>
      </w:pPr>
      <w:r>
        <w:rPr>
          <w:rFonts w:ascii="Arial" w:eastAsia="Arial" w:hAnsi="Arial" w:cs="Arial"/>
          <w:b/>
        </w:rPr>
        <w:t xml:space="preserve"> Visto el informe jurídico de 14 de junio de 2021 que transcrito literal</w:t>
      </w:r>
      <w:r>
        <w:rPr>
          <w:rFonts w:ascii="Arial" w:eastAsia="Arial" w:hAnsi="Arial" w:cs="Arial"/>
          <w:b/>
        </w:rPr>
        <w:t xml:space="preserve">mente dice: </w:t>
      </w:r>
    </w:p>
    <w:p w:rsidR="00FA7413" w:rsidRDefault="00D712A8">
      <w:pPr>
        <w:spacing w:after="114"/>
        <w:ind w:left="360"/>
      </w:pPr>
      <w:r>
        <w:rPr>
          <w:rFonts w:ascii="Arial" w:eastAsia="Arial" w:hAnsi="Arial" w:cs="Arial"/>
          <w:b/>
        </w:rPr>
        <w:t xml:space="preserve"> </w:t>
      </w:r>
    </w:p>
    <w:p w:rsidR="00FA7413" w:rsidRDefault="00D712A8">
      <w:pPr>
        <w:spacing w:after="0" w:line="353" w:lineRule="auto"/>
        <w:ind w:left="1068" w:right="2393" w:firstLine="2216"/>
        <w:jc w:val="both"/>
      </w:pPr>
      <w:r>
        <w:rPr>
          <w:rFonts w:ascii="Arial" w:eastAsia="Arial" w:hAnsi="Arial" w:cs="Arial"/>
          <w:i/>
        </w:rPr>
        <w:t xml:space="preserve">“INFORME JURÍDICO                           Visto el expediente antedicho, se emite el siguiente informe: </w:t>
      </w:r>
    </w:p>
    <w:p w:rsidR="00FA7413" w:rsidRDefault="00D712A8">
      <w:pPr>
        <w:spacing w:after="118" w:line="241" w:lineRule="auto"/>
        <w:ind w:left="1068"/>
      </w:pPr>
      <w:r>
        <w:rPr>
          <w:rFonts w:ascii="Arial" w:eastAsia="Arial" w:hAnsi="Arial" w:cs="Arial"/>
          <w:i/>
        </w:rPr>
        <w:t>Primero. - Por Acuerdo de la Comisión de Ordenación del Territorio y Medio Ambiente de Canarias (COTMAC) del Gobierno de Canarias de 2</w:t>
      </w:r>
      <w:r>
        <w:rPr>
          <w:rFonts w:ascii="Arial" w:eastAsia="Arial" w:hAnsi="Arial" w:cs="Arial"/>
          <w:i/>
        </w:rPr>
        <w:t xml:space="preserve">0 de julio de 2006 y de corrección de errores de 10 de noviembre de 2006 se aprobó definitivamente el Plan General de Ordenación Urbana del municipio de Candelaria (BOC de 8 de mayo y 10 de mayo de 2007) (BOP 17 de mayo de 2007) </w:t>
      </w:r>
    </w:p>
    <w:p w:rsidR="00FA7413" w:rsidRDefault="00D712A8">
      <w:pPr>
        <w:spacing w:after="112" w:line="247" w:lineRule="auto"/>
        <w:ind w:left="345" w:right="62" w:firstLine="708"/>
        <w:jc w:val="both"/>
      </w:pPr>
      <w:r>
        <w:rPr>
          <w:rFonts w:ascii="Arial" w:eastAsia="Arial" w:hAnsi="Arial" w:cs="Arial"/>
          <w:i/>
        </w:rPr>
        <w:t>Segundo. - Que se interpus</w:t>
      </w:r>
      <w:r>
        <w:rPr>
          <w:rFonts w:ascii="Arial" w:eastAsia="Arial" w:hAnsi="Arial" w:cs="Arial"/>
          <w:i/>
        </w:rPr>
        <w:t xml:space="preserve">o recurso contencioso-administrativo contra el acuerdo mencionado en el punto primero por D. José Amaranto Caballero Mesa, Francisco Ramón García Díaz y Guadalupe García Miguel </w:t>
      </w:r>
    </w:p>
    <w:p w:rsidR="00FA7413" w:rsidRDefault="00D712A8">
      <w:pPr>
        <w:spacing w:after="112" w:line="247" w:lineRule="auto"/>
        <w:ind w:left="355" w:right="62" w:hanging="10"/>
        <w:jc w:val="both"/>
      </w:pPr>
      <w:r>
        <w:rPr>
          <w:rFonts w:ascii="Arial" w:eastAsia="Arial" w:hAnsi="Arial" w:cs="Arial"/>
          <w:i/>
        </w:rPr>
        <w:t xml:space="preserve"> Tercero. - Que consta en el expediente sentencia que ha remitido Servicios Ge</w:t>
      </w:r>
      <w:r>
        <w:rPr>
          <w:rFonts w:ascii="Arial" w:eastAsia="Arial" w:hAnsi="Arial" w:cs="Arial"/>
          <w:i/>
        </w:rPr>
        <w:t xml:space="preserve">nerales a la Secretaría General con fecha 26 de febrero de 2020: </w:t>
      </w:r>
    </w:p>
    <w:p w:rsidR="00FA7413" w:rsidRDefault="00D712A8">
      <w:pPr>
        <w:spacing w:after="112" w:line="247" w:lineRule="auto"/>
        <w:ind w:left="355" w:right="62" w:hanging="10"/>
        <w:jc w:val="both"/>
      </w:pPr>
      <w:r>
        <w:rPr>
          <w:rFonts w:ascii="Arial" w:eastAsia="Arial" w:hAnsi="Arial" w:cs="Arial"/>
          <w:i/>
        </w:rPr>
        <w:t>Sentencia 20/2010 de 15 de marzo. Procedimiento ordinario 115/2007. Sala de lo ContenciosoAdministrativo del Tribunal Superior de Justicia de Canarias. Sección Segunda. Santa Cruz de Tenerif</w:t>
      </w:r>
      <w:r>
        <w:rPr>
          <w:rFonts w:ascii="Arial" w:eastAsia="Arial" w:hAnsi="Arial" w:cs="Arial"/>
          <w:i/>
        </w:rPr>
        <w:t xml:space="preserve">e. </w:t>
      </w:r>
    </w:p>
    <w:p w:rsidR="00FA7413" w:rsidRDefault="00D712A8">
      <w:pPr>
        <w:spacing w:after="112" w:line="247" w:lineRule="auto"/>
        <w:ind w:left="355" w:right="62" w:hanging="10"/>
        <w:jc w:val="both"/>
      </w:pPr>
      <w:r>
        <w:rPr>
          <w:rFonts w:ascii="Arial" w:eastAsia="Arial" w:hAnsi="Arial" w:cs="Arial"/>
          <w:i/>
        </w:rPr>
        <w:t xml:space="preserve">Fallo: Desestimar el recurso contra la resolución ya mencionadas en el encabezamiento de la sentencia declarando no haber lugar a las pretensiones de la demanda, sin costas. </w:t>
      </w:r>
    </w:p>
    <w:p w:rsidR="00FA7413" w:rsidRDefault="00D712A8">
      <w:pPr>
        <w:spacing w:after="98"/>
        <w:ind w:left="2487"/>
      </w:pPr>
      <w:r>
        <w:rPr>
          <w:rFonts w:ascii="Arial" w:eastAsia="Arial" w:hAnsi="Arial" w:cs="Arial"/>
          <w:i/>
        </w:rPr>
        <w:t xml:space="preserve"> </w:t>
      </w:r>
    </w:p>
    <w:p w:rsidR="00FA7413" w:rsidRDefault="00D712A8">
      <w:pPr>
        <w:spacing w:after="112" w:line="247" w:lineRule="auto"/>
        <w:ind w:left="345" w:right="62" w:firstLine="708"/>
        <w:jc w:val="both"/>
      </w:pPr>
      <w:r>
        <w:rPr>
          <w:rFonts w:ascii="Arial" w:eastAsia="Arial" w:hAnsi="Arial" w:cs="Arial"/>
          <w:i/>
        </w:rPr>
        <w:t xml:space="preserve">Cuarto. - </w:t>
      </w:r>
      <w:r>
        <w:rPr>
          <w:rFonts w:ascii="Arial" w:eastAsia="Arial" w:hAnsi="Arial" w:cs="Arial"/>
          <w:i/>
        </w:rPr>
        <w:t xml:space="preserve">Que con fecha 7 de junio de 2021 ha tenido entrada en el Ayuntamiento de Candelaria, el oficio del Gobierno de Canarias que en relación al presente expediente dice: </w:t>
      </w:r>
    </w:p>
    <w:p w:rsidR="00FA7413" w:rsidRDefault="00D712A8">
      <w:pPr>
        <w:spacing w:after="112" w:line="247" w:lineRule="auto"/>
        <w:ind w:left="355" w:right="62" w:hanging="10"/>
        <w:jc w:val="both"/>
      </w:pPr>
      <w:r>
        <w:rPr>
          <w:rFonts w:ascii="Arial" w:eastAsia="Arial" w:hAnsi="Arial" w:cs="Arial"/>
          <w:i/>
        </w:rPr>
        <w:t xml:space="preserve"> “En los casos de las sentencias de los expedientes número 2252/2020, 2280/2020, 2257/2020</w:t>
      </w:r>
      <w:r>
        <w:rPr>
          <w:rFonts w:ascii="Arial" w:eastAsia="Arial" w:hAnsi="Arial" w:cs="Arial"/>
          <w:i/>
        </w:rPr>
        <w:t xml:space="preserve">, 2254/2020, 2284/2020 y 2282/2020 dado que se refieren a procedimientos en los que los recursos interpuestos han sido desestimados por considerarse que el acto recurrido es ajustado a derecho, no se requiere de actuación alguna tendente a la ejecución de </w:t>
      </w:r>
      <w:r>
        <w:rPr>
          <w:rFonts w:ascii="Arial" w:eastAsia="Arial" w:hAnsi="Arial" w:cs="Arial"/>
          <w:i/>
        </w:rPr>
        <w:t xml:space="preserve">su fallo. </w:t>
      </w:r>
    </w:p>
    <w:p w:rsidR="00FA7413" w:rsidRDefault="00D712A8">
      <w:pPr>
        <w:spacing w:after="112" w:line="247" w:lineRule="auto"/>
        <w:ind w:left="355" w:right="62" w:hanging="10"/>
        <w:jc w:val="both"/>
      </w:pPr>
      <w:r>
        <w:rPr>
          <w:noProof/>
        </w:rPr>
        <mc:AlternateContent>
          <mc:Choice Requires="wpg">
            <w:drawing>
              <wp:anchor distT="0" distB="0" distL="114300" distR="114300" simplePos="0" relativeHeight="251711488"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07870" name="Group 207870"/>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7635" name="Rectangle 7635"/>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7636" name="Rectangle 7636"/>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51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7870" style="width:12.7031pt;height:275.586pt;position:absolute;mso-position-horizontal-relative:page;mso-position-horizontal:absolute;margin-left:682.278pt;mso-position-vertical-relative:page;margin-top:536.334pt;" coordsize="1613,34999">
                <v:rect id="Rectangle 7635"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7636"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51 de 180 </w:t>
                        </w:r>
                      </w:p>
                    </w:txbxContent>
                  </v:textbox>
                </v:rect>
                <w10:wrap type="square"/>
              </v:group>
            </w:pict>
          </mc:Fallback>
        </mc:AlternateContent>
      </w:r>
      <w:r>
        <w:rPr>
          <w:rFonts w:ascii="Arial" w:eastAsia="Arial" w:hAnsi="Arial" w:cs="Arial"/>
          <w:i/>
        </w:rPr>
        <w:t xml:space="preserve"> La labor de ejecución en estos casos se reduce </w:t>
      </w:r>
      <w:r>
        <w:rPr>
          <w:rFonts w:ascii="Arial" w:eastAsia="Arial" w:hAnsi="Arial" w:cs="Arial"/>
          <w:i/>
        </w:rPr>
        <w:t xml:space="preserve">a una actuación formal de toma de conocimiento de la sentencia por parte del órgano competente, sin que se requiera de la realización de ninguna otra actividad material de ejecución. </w:t>
      </w:r>
    </w:p>
    <w:p w:rsidR="00FA7413" w:rsidRDefault="00D712A8">
      <w:pPr>
        <w:spacing w:after="112" w:line="247" w:lineRule="auto"/>
        <w:ind w:left="355" w:right="62" w:hanging="10"/>
        <w:jc w:val="both"/>
      </w:pPr>
      <w:r>
        <w:rPr>
          <w:rFonts w:ascii="Arial" w:eastAsia="Arial" w:hAnsi="Arial" w:cs="Arial"/>
          <w:i/>
        </w:rPr>
        <w:t xml:space="preserve"> Dicha actuación ha sido llevada a cabo en la forma expuesta en el apart</w:t>
      </w:r>
      <w:r>
        <w:rPr>
          <w:rFonts w:ascii="Arial" w:eastAsia="Arial" w:hAnsi="Arial" w:cs="Arial"/>
          <w:i/>
        </w:rPr>
        <w:t xml:space="preserve">ado anterior, por lo que la ejecución de estas sentencias ha de darse por concluida desde el mismo momento en que la Comisión de Ordenación del Territorio y Medio Ambiente de Canarias tomó conocimiento de ellas y lo comunicó al Ayuntamiento”. </w:t>
      </w:r>
    </w:p>
    <w:p w:rsidR="00FA7413" w:rsidRDefault="00D712A8">
      <w:pPr>
        <w:spacing w:after="101"/>
        <w:ind w:left="360"/>
      </w:pPr>
      <w:r>
        <w:rPr>
          <w:rFonts w:ascii="Arial" w:eastAsia="Arial" w:hAnsi="Arial" w:cs="Arial"/>
          <w:i/>
        </w:rPr>
        <w:t xml:space="preserve"> </w:t>
      </w:r>
    </w:p>
    <w:p w:rsidR="00FA7413" w:rsidRDefault="00D712A8">
      <w:pPr>
        <w:spacing w:after="112" w:line="247" w:lineRule="auto"/>
        <w:ind w:left="3208" w:right="62" w:hanging="10"/>
        <w:jc w:val="both"/>
      </w:pPr>
      <w:r>
        <w:rPr>
          <w:rFonts w:ascii="Arial" w:eastAsia="Arial" w:hAnsi="Arial" w:cs="Arial"/>
          <w:i/>
        </w:rPr>
        <w:t>Fundamento</w:t>
      </w:r>
      <w:r>
        <w:rPr>
          <w:rFonts w:ascii="Arial" w:eastAsia="Arial" w:hAnsi="Arial" w:cs="Arial"/>
          <w:i/>
        </w:rPr>
        <w:t xml:space="preserve">s de derecho   </w:t>
      </w:r>
    </w:p>
    <w:p w:rsidR="00FA7413" w:rsidRDefault="00D712A8">
      <w:pPr>
        <w:tabs>
          <w:tab w:val="center" w:pos="360"/>
          <w:tab w:val="right" w:pos="9999"/>
        </w:tabs>
        <w:spacing w:after="112" w:line="247" w:lineRule="auto"/>
      </w:pPr>
      <w:r>
        <w:tab/>
      </w:r>
      <w:r>
        <w:rPr>
          <w:rFonts w:ascii="Arial" w:eastAsia="Arial" w:hAnsi="Arial" w:cs="Arial"/>
          <w:i/>
        </w:rPr>
        <w:t xml:space="preserve"> </w:t>
      </w:r>
      <w:r>
        <w:rPr>
          <w:rFonts w:ascii="Arial" w:eastAsia="Arial" w:hAnsi="Arial" w:cs="Arial"/>
          <w:i/>
        </w:rPr>
        <w:tab/>
        <w:t xml:space="preserve">Primero. - Es de aplicación lo dispuesto en el artículo 118 de la constitución que establece: </w:t>
      </w:r>
    </w:p>
    <w:p w:rsidR="00FA7413" w:rsidRDefault="00D712A8">
      <w:pPr>
        <w:spacing w:after="112" w:line="247" w:lineRule="auto"/>
        <w:ind w:left="345" w:right="62" w:firstLine="708"/>
        <w:jc w:val="both"/>
      </w:pPr>
      <w:r>
        <w:rPr>
          <w:rFonts w:ascii="Arial" w:eastAsia="Arial" w:hAnsi="Arial" w:cs="Arial"/>
          <w:i/>
        </w:rPr>
        <w:t>Es obligado cumplir las sentencias y demás resoluciones firmes de los Jueces y Tribunales, así como prestar la colaboración requerida por éstos en el curso del proceso y en la ejecución de lo resuelto.</w:t>
      </w:r>
      <w:r>
        <w:rPr>
          <w:rFonts w:ascii="Arial" w:eastAsia="Arial" w:hAnsi="Arial" w:cs="Arial"/>
        </w:rPr>
        <w:t xml:space="preserve"> </w:t>
      </w:r>
    </w:p>
    <w:p w:rsidR="00FA7413" w:rsidRDefault="00D712A8">
      <w:pPr>
        <w:spacing w:after="112" w:line="247" w:lineRule="auto"/>
        <w:ind w:left="345" w:right="62" w:firstLine="708"/>
        <w:jc w:val="both"/>
      </w:pPr>
      <w:r>
        <w:rPr>
          <w:rFonts w:ascii="Arial" w:eastAsia="Arial" w:hAnsi="Arial" w:cs="Arial"/>
          <w:i/>
        </w:rPr>
        <w:t>Segundo. - Es de aplicación lo dispuesto en el artícu</w:t>
      </w:r>
      <w:r>
        <w:rPr>
          <w:rFonts w:ascii="Arial" w:eastAsia="Arial" w:hAnsi="Arial" w:cs="Arial"/>
          <w:i/>
        </w:rPr>
        <w:t xml:space="preserve">lo 103.2 de la Ley 29/1998, de 13 de julio, de la Jurisdicción Contencioso-Administrativa que establece: </w:t>
      </w:r>
    </w:p>
    <w:p w:rsidR="00FA7413" w:rsidRDefault="00D712A8">
      <w:pPr>
        <w:spacing w:after="112" w:line="247" w:lineRule="auto"/>
        <w:ind w:left="345" w:right="62" w:firstLine="708"/>
        <w:jc w:val="both"/>
      </w:pPr>
      <w:r>
        <w:rPr>
          <w:rFonts w:ascii="Arial" w:eastAsia="Arial" w:hAnsi="Arial" w:cs="Arial"/>
          <w:i/>
        </w:rPr>
        <w:t>2. Las partes están obligadas a cumplir las sentencias en la forma y términos que en éstas se consignen</w:t>
      </w:r>
      <w:r>
        <w:rPr>
          <w:rFonts w:ascii="Arial" w:eastAsia="Arial" w:hAnsi="Arial" w:cs="Arial"/>
        </w:rPr>
        <w:t xml:space="preserve"> </w:t>
      </w:r>
    </w:p>
    <w:p w:rsidR="00FA7413" w:rsidRDefault="00D712A8">
      <w:pPr>
        <w:spacing w:after="101"/>
        <w:ind w:left="1068"/>
      </w:pPr>
      <w:r>
        <w:rPr>
          <w:rFonts w:ascii="Arial" w:eastAsia="Arial" w:hAnsi="Arial" w:cs="Arial"/>
          <w:i/>
        </w:rPr>
        <w:t xml:space="preserve"> </w:t>
      </w:r>
    </w:p>
    <w:p w:rsidR="00FA7413" w:rsidRDefault="00D712A8">
      <w:pPr>
        <w:tabs>
          <w:tab w:val="center" w:pos="360"/>
          <w:tab w:val="center" w:pos="1068"/>
          <w:tab w:val="center" w:pos="1776"/>
          <w:tab w:val="center" w:pos="4092"/>
        </w:tabs>
        <w:spacing w:after="112" w:line="247" w:lineRule="auto"/>
      </w:pPr>
      <w:r>
        <w:tab/>
      </w:r>
      <w:r>
        <w:rPr>
          <w:rFonts w:ascii="Arial" w:eastAsia="Arial" w:hAnsi="Arial" w:cs="Arial"/>
          <w:i/>
        </w:rPr>
        <w:t xml:space="preserve"> </w:t>
      </w:r>
      <w:r>
        <w:rPr>
          <w:rFonts w:ascii="Arial" w:eastAsia="Arial" w:hAnsi="Arial" w:cs="Arial"/>
          <w:i/>
        </w:rPr>
        <w:tab/>
        <w:t xml:space="preserve"> </w:t>
      </w:r>
      <w:r>
        <w:rPr>
          <w:rFonts w:ascii="Arial" w:eastAsia="Arial" w:hAnsi="Arial" w:cs="Arial"/>
          <w:i/>
        </w:rPr>
        <w:tab/>
        <w:t xml:space="preserve"> </w:t>
      </w:r>
      <w:r>
        <w:rPr>
          <w:rFonts w:ascii="Arial" w:eastAsia="Arial" w:hAnsi="Arial" w:cs="Arial"/>
          <w:i/>
        </w:rPr>
        <w:tab/>
        <w:t xml:space="preserve">PROPUESTA DE RESOLUCIÓN </w:t>
      </w:r>
    </w:p>
    <w:p w:rsidR="00FA7413" w:rsidRDefault="00D712A8">
      <w:pPr>
        <w:spacing w:after="112" w:line="247" w:lineRule="auto"/>
        <w:ind w:left="1078" w:right="62" w:hanging="10"/>
        <w:jc w:val="both"/>
      </w:pPr>
      <w:r>
        <w:rPr>
          <w:rFonts w:ascii="Arial" w:eastAsia="Arial" w:hAnsi="Arial" w:cs="Arial"/>
          <w:i/>
        </w:rPr>
        <w:t xml:space="preserve">Por lo expuesto se eleva la siguiente propuesta al Pleno: </w:t>
      </w:r>
    </w:p>
    <w:p w:rsidR="00FA7413" w:rsidRDefault="00D712A8">
      <w:pPr>
        <w:spacing w:after="100"/>
        <w:ind w:left="360"/>
      </w:pPr>
      <w:r>
        <w:rPr>
          <w:rFonts w:ascii="Arial" w:eastAsia="Arial" w:hAnsi="Arial" w:cs="Arial"/>
          <w:i/>
        </w:rPr>
        <w:t xml:space="preserve"> </w:t>
      </w:r>
    </w:p>
    <w:p w:rsidR="00FA7413" w:rsidRDefault="00D712A8">
      <w:pPr>
        <w:spacing w:after="112" w:line="247" w:lineRule="auto"/>
        <w:ind w:left="345" w:right="62" w:firstLine="708"/>
        <w:jc w:val="both"/>
      </w:pPr>
      <w:r>
        <w:rPr>
          <w:rFonts w:ascii="Arial" w:eastAsia="Arial" w:hAnsi="Arial" w:cs="Arial"/>
          <w:i/>
        </w:rPr>
        <w:t>Primero. - Tomar conocimiento de la Sentencia de 15 de marzo de 2010 (Procedimiento ordinario 115/2007) de la Sala de lo Contencioso-Administrativo del Tribunal Superior de Justicia de Canarias (</w:t>
      </w:r>
      <w:r>
        <w:rPr>
          <w:rFonts w:ascii="Arial" w:eastAsia="Arial" w:hAnsi="Arial" w:cs="Arial"/>
          <w:i/>
        </w:rPr>
        <w:t>Sección Segunda. Santa Cruz de Tenerife) por la que se desestima el recurso interpuesto por D. José Amaranto Caballero Mesa, Francisco Ramón García Díaz y Guadalupe García Miguel contra el acuerdo de la Comisión de Ordenación del Territorio y Medio Ambient</w:t>
      </w:r>
      <w:r>
        <w:rPr>
          <w:rFonts w:ascii="Arial" w:eastAsia="Arial" w:hAnsi="Arial" w:cs="Arial"/>
          <w:i/>
        </w:rPr>
        <w:t>e de Canarias (COTMAC) del Gobierno de Canarias de 20 de julio de 2006 y de corrección de errores de 10 de noviembre de 2006 por el que se aprobó definitivamente el Plan General de Ordenación Urbana del municipio de Candelaria (BOC de 8 de mayo y 10 de may</w:t>
      </w:r>
      <w:r>
        <w:rPr>
          <w:rFonts w:ascii="Arial" w:eastAsia="Arial" w:hAnsi="Arial" w:cs="Arial"/>
          <w:i/>
        </w:rPr>
        <w:t xml:space="preserve">o de 2007). </w:t>
      </w:r>
    </w:p>
    <w:p w:rsidR="00FA7413" w:rsidRDefault="00D712A8">
      <w:pPr>
        <w:spacing w:after="121"/>
        <w:ind w:left="360"/>
      </w:pPr>
      <w:r>
        <w:rPr>
          <w:rFonts w:ascii="Arial" w:eastAsia="Arial" w:hAnsi="Arial" w:cs="Arial"/>
          <w:i/>
        </w:rPr>
        <w:t xml:space="preserve"> </w:t>
      </w:r>
    </w:p>
    <w:p w:rsidR="00FA7413" w:rsidRDefault="00D712A8">
      <w:pPr>
        <w:spacing w:after="112" w:line="247" w:lineRule="auto"/>
        <w:ind w:left="1078" w:right="62" w:hanging="10"/>
        <w:jc w:val="both"/>
      </w:pPr>
      <w:r>
        <w:rPr>
          <w:rFonts w:ascii="Arial" w:eastAsia="Arial" w:hAnsi="Arial" w:cs="Arial"/>
          <w:i/>
        </w:rPr>
        <w:t xml:space="preserve">Segundo. - Notificar el presente acuerdo a los interesados”. </w:t>
      </w:r>
    </w:p>
    <w:p w:rsidR="00FA7413" w:rsidRDefault="00D712A8">
      <w:pPr>
        <w:spacing w:after="98"/>
        <w:ind w:left="360"/>
      </w:pPr>
      <w:r>
        <w:rPr>
          <w:rFonts w:ascii="Arial" w:eastAsia="Arial" w:hAnsi="Arial" w:cs="Arial"/>
          <w:i/>
        </w:rPr>
        <w:t xml:space="preserve"> </w:t>
      </w:r>
    </w:p>
    <w:p w:rsidR="00FA7413" w:rsidRDefault="00D712A8">
      <w:pPr>
        <w:spacing w:after="98"/>
        <w:ind w:left="360"/>
      </w:pPr>
      <w:r>
        <w:rPr>
          <w:rFonts w:ascii="Arial" w:eastAsia="Arial" w:hAnsi="Arial" w:cs="Arial"/>
          <w:i/>
        </w:rPr>
        <w:t xml:space="preserve"> </w:t>
      </w:r>
    </w:p>
    <w:p w:rsidR="00FA7413" w:rsidRDefault="00D712A8">
      <w:pPr>
        <w:spacing w:after="0" w:line="248" w:lineRule="auto"/>
        <w:ind w:left="355" w:right="62" w:hanging="10"/>
        <w:jc w:val="both"/>
      </w:pPr>
      <w:r>
        <w:rPr>
          <w:rFonts w:ascii="Arial" w:eastAsia="Arial" w:hAnsi="Arial" w:cs="Arial"/>
          <w:b/>
        </w:rPr>
        <w:t xml:space="preserve">DICTAMEN FAVORABLE DE LA COMISIÓN INFORMATIVA DE P.G. URBANÍSTICA Y AMBIENTAL, OBRAS y SERVICIOS PÚBLICOS DE 21 DE JUNIO DE 2021.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Por el Secretario se procede a dar lectur</w:t>
      </w:r>
      <w:r>
        <w:rPr>
          <w:rFonts w:ascii="Arial" w:eastAsia="Arial" w:hAnsi="Arial" w:cs="Arial"/>
          <w:b/>
        </w:rPr>
        <w:t xml:space="preserve">a del oficio de la Secretaría General de 31 de enero de 2020 a Servicios Generales que da origen a la tramitación de estos expedientes que transcrito literalmente dice: </w:t>
      </w:r>
    </w:p>
    <w:p w:rsidR="00FA7413" w:rsidRDefault="00D712A8">
      <w:pPr>
        <w:spacing w:after="0"/>
        <w:ind w:left="360"/>
      </w:pPr>
      <w:r>
        <w:rPr>
          <w:rFonts w:ascii="Arial" w:eastAsia="Arial" w:hAnsi="Arial" w:cs="Arial"/>
          <w:i/>
        </w:rPr>
        <w:t xml:space="preserve"> </w:t>
      </w:r>
    </w:p>
    <w:p w:rsidR="00FA7413" w:rsidRDefault="00D712A8">
      <w:pPr>
        <w:spacing w:after="0" w:line="247" w:lineRule="auto"/>
        <w:ind w:left="355" w:right="62" w:hanging="10"/>
        <w:jc w:val="both"/>
      </w:pPr>
      <w:r>
        <w:rPr>
          <w:noProof/>
        </w:rPr>
        <mc:AlternateContent>
          <mc:Choice Requires="wpg">
            <w:drawing>
              <wp:anchor distT="0" distB="0" distL="114300" distR="114300" simplePos="0" relativeHeight="251712512"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07478" name="Group 207478"/>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7741" name="Rectangle 7741"/>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7742" name="Rectangle 7742"/>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52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7478" style="width:12.7031pt;height:275.586pt;position:absolute;mso-position-horizontal-relative:page;mso-position-horizontal:absolute;margin-left:682.278pt;mso-position-vertical-relative:page;margin-top:536.334pt;" coordsize="1613,34999">
                <v:rect id="Rectangle 7741"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7742"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52 de 180 </w:t>
                        </w:r>
                      </w:p>
                    </w:txbxContent>
                  </v:textbox>
                </v:rect>
                <w10:wrap type="square"/>
              </v:group>
            </w:pict>
          </mc:Fallback>
        </mc:AlternateContent>
      </w:r>
      <w:r>
        <w:rPr>
          <w:rFonts w:ascii="Arial" w:eastAsia="Arial" w:hAnsi="Arial" w:cs="Arial"/>
          <w:i/>
        </w:rPr>
        <w:t>“Visto que según reunión mantenida por la Secretaria General c</w:t>
      </w:r>
      <w:r>
        <w:rPr>
          <w:rFonts w:ascii="Arial" w:eastAsia="Arial" w:hAnsi="Arial" w:cs="Arial"/>
          <w:i/>
        </w:rPr>
        <w:t>on el Área de Urbanismo el 31 de enero de 2020 se ha puesto de conocimiento de la existencia de sentencias firmes que afectan al Plan General de Ordenación vigente del municipio de Candelaria de las que no se ha tomado conocimiento por el Pleno de la Corpo</w:t>
      </w:r>
      <w:r>
        <w:rPr>
          <w:rFonts w:ascii="Arial" w:eastAsia="Arial" w:hAnsi="Arial" w:cs="Arial"/>
          <w:i/>
        </w:rPr>
        <w:t xml:space="preserve">ración y en consecuencia no se han ejecutado llevándolas a puro y debido efecto como exige la Ley 29/1998, de la Jurisdicción Contencioso-Administrativa.  </w:t>
      </w:r>
    </w:p>
    <w:p w:rsidR="00FA7413" w:rsidRDefault="00D712A8">
      <w:pPr>
        <w:spacing w:after="0"/>
        <w:ind w:left="360"/>
      </w:pPr>
      <w:r>
        <w:rPr>
          <w:rFonts w:ascii="Arial" w:eastAsia="Arial" w:hAnsi="Arial" w:cs="Arial"/>
        </w:rPr>
        <w:t xml:space="preserve"> </w:t>
      </w:r>
    </w:p>
    <w:p w:rsidR="00FA7413" w:rsidRDefault="00D712A8">
      <w:pPr>
        <w:spacing w:after="0" w:line="247" w:lineRule="auto"/>
        <w:ind w:left="355" w:right="62" w:hanging="10"/>
        <w:jc w:val="both"/>
      </w:pPr>
      <w:r>
        <w:rPr>
          <w:rFonts w:ascii="Arial" w:eastAsia="Arial" w:hAnsi="Arial" w:cs="Arial"/>
          <w:i/>
        </w:rPr>
        <w:t>Visto que ya consta en el expediente 10989/2019 que la Concejal delegada de Planificación y Gestió</w:t>
      </w:r>
      <w:r>
        <w:rPr>
          <w:rFonts w:ascii="Arial" w:eastAsia="Arial" w:hAnsi="Arial" w:cs="Arial"/>
          <w:i/>
        </w:rPr>
        <w:t xml:space="preserve">n Urbanística y Ambiental emitió oficio el 12 de noviembre de 2019 solicitando dichas sentencias a Servicios Generales y de las que no se tiene conocimiento que se han remitido para su toma de conocimiento por el pleno y su ejecución correspondiente.  </w:t>
      </w:r>
    </w:p>
    <w:p w:rsidR="00FA7413" w:rsidRDefault="00D712A8">
      <w:pPr>
        <w:spacing w:after="0"/>
        <w:ind w:left="360"/>
      </w:pPr>
      <w:r>
        <w:rPr>
          <w:rFonts w:ascii="Arial" w:eastAsia="Arial" w:hAnsi="Arial" w:cs="Arial"/>
        </w:rPr>
        <w:t xml:space="preserve"> </w:t>
      </w:r>
    </w:p>
    <w:p w:rsidR="00FA7413" w:rsidRDefault="00D712A8">
      <w:pPr>
        <w:spacing w:after="0" w:line="247" w:lineRule="auto"/>
        <w:ind w:left="355" w:right="62" w:hanging="10"/>
        <w:jc w:val="both"/>
      </w:pPr>
      <w:r>
        <w:rPr>
          <w:rFonts w:ascii="Arial" w:eastAsia="Arial" w:hAnsi="Arial" w:cs="Arial"/>
          <w:i/>
        </w:rPr>
        <w:t>S</w:t>
      </w:r>
      <w:r>
        <w:rPr>
          <w:rFonts w:ascii="Arial" w:eastAsia="Arial" w:hAnsi="Arial" w:cs="Arial"/>
          <w:i/>
        </w:rPr>
        <w:t>e le solicita al Departamento de Servicios Generales, Contratación y Bienes que en el período improrrogable comprendido desde el 3 al 28 de febrero de 2020 remita a Secretaría General debidamente ordenados y clasificados con un oficio de remisión, todos lo</w:t>
      </w:r>
      <w:r>
        <w:rPr>
          <w:rFonts w:ascii="Arial" w:eastAsia="Arial" w:hAnsi="Arial" w:cs="Arial"/>
          <w:i/>
        </w:rPr>
        <w:t>s expedientes originales que obren en ese Departamento entre el año 2007 hasta el año 2020 sobre sentencias resultantes de impugnaciones del orden jurisdiccional contencioso-administrativo relativas al Plan General de Ordenación actualmente vigente publica</w:t>
      </w:r>
      <w:r>
        <w:rPr>
          <w:rFonts w:ascii="Arial" w:eastAsia="Arial" w:hAnsi="Arial" w:cs="Arial"/>
          <w:i/>
        </w:rPr>
        <w:t>do en el BOP de 17 de mayo de 2007 a los efectos de preparar el expediente con los informes técnicos y jurídicos correspondientes para su toma de conocimiento por el Pleno ordinario de marzo y la ejecución y cumplimiento de dichas sentencias”.</w:t>
      </w:r>
      <w:r>
        <w:rPr>
          <w:rFonts w:ascii="Times New Roman" w:eastAsia="Times New Roman" w:hAnsi="Times New Roman" w:cs="Times New Roman"/>
          <w:sz w:val="24"/>
        </w:rPr>
        <w:t xml:space="preserve"> </w:t>
      </w:r>
    </w:p>
    <w:p w:rsidR="00FA7413" w:rsidRDefault="00D712A8">
      <w:pPr>
        <w:spacing w:after="0"/>
        <w:ind w:left="360"/>
      </w:pPr>
      <w:r>
        <w:rPr>
          <w:rFonts w:ascii="Arial" w:eastAsia="Arial" w:hAnsi="Arial" w:cs="Arial"/>
          <w:b/>
          <w:i/>
        </w:rPr>
        <w:t xml:space="preserve"> </w:t>
      </w:r>
    </w:p>
    <w:p w:rsidR="00FA7413" w:rsidRDefault="00D712A8">
      <w:pPr>
        <w:spacing w:after="11" w:line="248" w:lineRule="auto"/>
        <w:ind w:left="355" w:right="62" w:hanging="10"/>
        <w:jc w:val="both"/>
      </w:pPr>
      <w:r>
        <w:rPr>
          <w:rFonts w:ascii="Arial" w:eastAsia="Arial" w:hAnsi="Arial" w:cs="Arial"/>
          <w:b/>
        </w:rPr>
        <w:t>Los 7 con</w:t>
      </w:r>
      <w:r>
        <w:rPr>
          <w:rFonts w:ascii="Arial" w:eastAsia="Arial" w:hAnsi="Arial" w:cs="Arial"/>
          <w:b/>
        </w:rPr>
        <w:t xml:space="preserve">cejales presentes tomaron conocimiento: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Los 4 concejales del Grupo Socialista: Doña Hilaria Cecilia Otazo González, Don José Francisco </w:t>
      </w:r>
    </w:p>
    <w:p w:rsidR="00FA7413" w:rsidRDefault="00D712A8">
      <w:pPr>
        <w:spacing w:after="11" w:line="248" w:lineRule="auto"/>
        <w:ind w:left="355" w:right="64" w:hanging="10"/>
        <w:jc w:val="both"/>
      </w:pPr>
      <w:r>
        <w:rPr>
          <w:rFonts w:ascii="Arial" w:eastAsia="Arial" w:hAnsi="Arial" w:cs="Arial"/>
        </w:rPr>
        <w:t xml:space="preserve">Pinto Ramos, Doña María del Carmen Clemente Díaz y Don Olegario Francisco Alonso Bello </w:t>
      </w:r>
    </w:p>
    <w:p w:rsidR="00FA7413" w:rsidRDefault="00D712A8">
      <w:pPr>
        <w:spacing w:after="0"/>
        <w:ind w:left="360"/>
      </w:pPr>
      <w:r>
        <w:rPr>
          <w:rFonts w:ascii="Arial" w:eastAsia="Arial" w:hAnsi="Arial" w:cs="Arial"/>
        </w:rPr>
        <w:t xml:space="preserve"> </w:t>
      </w:r>
    </w:p>
    <w:p w:rsidR="00FA7413" w:rsidRDefault="00D712A8">
      <w:pPr>
        <w:spacing w:after="109" w:line="248" w:lineRule="auto"/>
        <w:ind w:left="355" w:right="64" w:hanging="10"/>
        <w:jc w:val="both"/>
      </w:pPr>
      <w:r>
        <w:rPr>
          <w:rFonts w:ascii="Arial" w:eastAsia="Arial" w:hAnsi="Arial" w:cs="Arial"/>
        </w:rPr>
        <w:t xml:space="preserve">La concejal del Grupo Popular, Doña Raquel Martín Castro.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 xml:space="preserve">La 2 concejalas del Grupo Mixto: Doña Lourdes del Carmen Mondéjar Rondón (SSP),  y Doña Ángela Cruz Perera (CC).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3516" w:hanging="10"/>
        <w:jc w:val="both"/>
      </w:pPr>
      <w:r>
        <w:rPr>
          <w:rFonts w:ascii="Arial" w:eastAsia="Arial" w:hAnsi="Arial" w:cs="Arial"/>
          <w:b/>
        </w:rPr>
        <w:t xml:space="preserve">JUNTA DE PORTAVOCES DE 21 DE JUNIO DE 2021  </w:t>
      </w:r>
      <w:r>
        <w:rPr>
          <w:rFonts w:ascii="Arial" w:eastAsia="Arial" w:hAnsi="Arial" w:cs="Arial"/>
        </w:rPr>
        <w:t xml:space="preserve">Quedó oída.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355" w:right="62" w:hanging="10"/>
        <w:jc w:val="both"/>
      </w:pPr>
      <w:r>
        <w:rPr>
          <w:rFonts w:ascii="Arial" w:eastAsia="Arial" w:hAnsi="Arial" w:cs="Arial"/>
          <w:b/>
        </w:rPr>
        <w:t xml:space="preserve">TOMA DE CONOCIMIENTO EN EL PLENO DE 24 DE JUNIO DE 2021.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Los 18 concejales presentes tomaron conocimiento: </w:t>
      </w:r>
    </w:p>
    <w:p w:rsidR="00FA7413" w:rsidRDefault="00D712A8">
      <w:pPr>
        <w:spacing w:after="0"/>
        <w:ind w:left="360"/>
      </w:pPr>
      <w:r>
        <w:rPr>
          <w:rFonts w:ascii="Arial" w:eastAsia="Arial" w:hAnsi="Arial" w:cs="Arial"/>
          <w:b/>
        </w:rPr>
        <w:t xml:space="preserve"> </w:t>
      </w:r>
    </w:p>
    <w:p w:rsidR="00FA7413" w:rsidRDefault="00D712A8">
      <w:pPr>
        <w:spacing w:after="109" w:line="248" w:lineRule="auto"/>
        <w:ind w:left="345" w:right="64" w:firstLine="708"/>
        <w:jc w:val="both"/>
      </w:pPr>
      <w:r>
        <w:rPr>
          <w:rFonts w:ascii="Arial" w:eastAsia="Arial" w:hAnsi="Arial" w:cs="Arial"/>
        </w:rPr>
        <w:t>11 concejales del Grupo Socialista: Doña María Concepción Brito Núñez, Don Jorge Baute Delgado, Doña Olivia Concepción Pérez Díaz, Don José Fr</w:t>
      </w:r>
      <w:r>
        <w:rPr>
          <w:rFonts w:ascii="Arial" w:eastAsia="Arial" w:hAnsi="Arial" w:cs="Arial"/>
        </w:rPr>
        <w:t xml:space="preserve">ancisco Pinto Ramos, Doña Hilaria Cecilia Otazo González, Don Airam Pérez Chinea, Doña Margarita Eva Tendero Barroso, Don Manuel Alberto González Pestano, Doña María del Carmen Clemente Díaz, Don Olegario Francisco Alonso Bello y Don Reinaldo José Triviño </w:t>
      </w:r>
      <w:r>
        <w:rPr>
          <w:rFonts w:ascii="Arial" w:eastAsia="Arial" w:hAnsi="Arial" w:cs="Arial"/>
        </w:rPr>
        <w:t xml:space="preserve">Blanco. </w:t>
      </w:r>
    </w:p>
    <w:p w:rsidR="00FA7413" w:rsidRDefault="00D712A8">
      <w:pPr>
        <w:spacing w:after="109" w:line="248" w:lineRule="auto"/>
        <w:ind w:left="345" w:right="64" w:firstLine="708"/>
        <w:jc w:val="both"/>
      </w:pPr>
      <w:r>
        <w:rPr>
          <w:rFonts w:ascii="Arial" w:eastAsia="Arial" w:hAnsi="Arial" w:cs="Arial"/>
        </w:rPr>
        <w:t xml:space="preserve">3 concejales del Grupo Popular: Don Andrés Rodríguez Delgado, Don Jacobo López Fariña y Doña Raquel Martín Castro. </w:t>
      </w:r>
    </w:p>
    <w:p w:rsidR="00FA7413" w:rsidRDefault="00D712A8">
      <w:pPr>
        <w:spacing w:after="109" w:line="248" w:lineRule="auto"/>
        <w:ind w:left="345" w:right="64" w:firstLine="708"/>
        <w:jc w:val="both"/>
      </w:pPr>
      <w:r>
        <w:rPr>
          <w:rFonts w:ascii="Arial" w:eastAsia="Arial" w:hAnsi="Arial" w:cs="Arial"/>
        </w:rPr>
        <w:t>3 de los concejales del Grupo Mixto: Don Antonio Delgado García y Doña Lourdes del Carmen Mondéjar Rondón (SSP) y  Doña Ángela Cruz</w:t>
      </w:r>
      <w:r>
        <w:rPr>
          <w:rFonts w:ascii="Arial" w:eastAsia="Arial" w:hAnsi="Arial" w:cs="Arial"/>
        </w:rPr>
        <w:t xml:space="preserve"> Perera (CC). </w:t>
      </w:r>
    </w:p>
    <w:p w:rsidR="00FA7413" w:rsidRDefault="00D712A8">
      <w:pPr>
        <w:spacing w:after="109" w:line="248" w:lineRule="auto"/>
        <w:ind w:left="1078" w:right="64" w:hanging="10"/>
        <w:jc w:val="both"/>
      </w:pPr>
      <w:r>
        <w:rPr>
          <w:noProof/>
        </w:rPr>
        <mc:AlternateContent>
          <mc:Choice Requires="wpg">
            <w:drawing>
              <wp:anchor distT="0" distB="0" distL="114300" distR="114300" simplePos="0" relativeHeight="251713536"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07605" name="Group 207605"/>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7842" name="Rectangle 7842"/>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7843" name="Rectangle 7843"/>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53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7605" style="width:12.7031pt;height:275.586pt;position:absolute;mso-position-horizontal-relative:page;mso-position-horizontal:absolute;margin-left:682.278pt;mso-position-vertical-relative:page;margin-top:536.334pt;" coordsize="1613,34999">
                <v:rect id="Rectangle 7842"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7843"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53 de 180 </w:t>
                        </w:r>
                      </w:p>
                    </w:txbxContent>
                  </v:textbox>
                </v:rect>
                <w10:wrap type="square"/>
              </v:group>
            </w:pict>
          </mc:Fallback>
        </mc:AlternateContent>
      </w:r>
      <w:r>
        <w:rPr>
          <w:rFonts w:ascii="Arial" w:eastAsia="Arial" w:hAnsi="Arial" w:cs="Arial"/>
        </w:rPr>
        <w:t xml:space="preserve">1 de la concejal del Grupo Mixto (VxC): Doña Alicia Mercedes Marrero Meneses. </w:t>
      </w:r>
    </w:p>
    <w:p w:rsidR="00FA7413" w:rsidRDefault="00D712A8">
      <w:pPr>
        <w:spacing w:after="100"/>
        <w:ind w:left="360"/>
      </w:pPr>
      <w:r>
        <w:rPr>
          <w:rFonts w:ascii="Arial" w:eastAsia="Arial" w:hAnsi="Arial" w:cs="Arial"/>
          <w:b/>
        </w:rPr>
        <w:t xml:space="preserve"> </w:t>
      </w:r>
    </w:p>
    <w:p w:rsidR="00FA7413" w:rsidRDefault="00D712A8">
      <w:pPr>
        <w:spacing w:after="112" w:line="248" w:lineRule="auto"/>
        <w:ind w:left="3208" w:right="62" w:hanging="10"/>
        <w:jc w:val="both"/>
      </w:pPr>
      <w:r>
        <w:rPr>
          <w:rFonts w:ascii="Arial" w:eastAsia="Arial" w:hAnsi="Arial" w:cs="Arial"/>
          <w:b/>
        </w:rPr>
        <w:t xml:space="preserve">ACUERDO DEL PLENO </w:t>
      </w:r>
    </w:p>
    <w:p w:rsidR="00FA7413" w:rsidRDefault="00D712A8">
      <w:pPr>
        <w:spacing w:after="112" w:line="248" w:lineRule="auto"/>
        <w:ind w:left="345" w:right="62" w:firstLine="708"/>
        <w:jc w:val="both"/>
      </w:pPr>
      <w:r>
        <w:rPr>
          <w:rFonts w:ascii="Arial" w:eastAsia="Arial" w:hAnsi="Arial" w:cs="Arial"/>
          <w:b/>
        </w:rPr>
        <w:t xml:space="preserve"> Primero. - Tomar conocimiento de la Sentencia de 15 de marzo de 2010 (Procedimiento ordinario 115/2007) de la Sala de lo Contencioso-Administrativo del Tri</w:t>
      </w:r>
      <w:r>
        <w:rPr>
          <w:rFonts w:ascii="Arial" w:eastAsia="Arial" w:hAnsi="Arial" w:cs="Arial"/>
          <w:b/>
        </w:rPr>
        <w:t>bunal Superior de Justicia de Canarias (Sección Segunda. Santa Cruz de Tenerife) por la que se desestima el recurso interpuesto por D. José Amaranto Caballero Mesa, Francisco Ramón García Díaz y Guadalupe García Miguel contra el acuerdo de la Comisión de O</w:t>
      </w:r>
      <w:r>
        <w:rPr>
          <w:rFonts w:ascii="Arial" w:eastAsia="Arial" w:hAnsi="Arial" w:cs="Arial"/>
          <w:b/>
        </w:rPr>
        <w:t xml:space="preserve">rdenación del Territorio y Medio Ambiente de Canarias (COTMAC) del Gobierno de Canarias de 20 de julio de 2006 y de corrección de errores de 10 de noviembre de 2006 por el que se aprobó definitivamente el Plan General de Ordenación Urbana del municipio de </w:t>
      </w:r>
      <w:r>
        <w:rPr>
          <w:rFonts w:ascii="Arial" w:eastAsia="Arial" w:hAnsi="Arial" w:cs="Arial"/>
          <w:b/>
        </w:rPr>
        <w:t xml:space="preserve">Candelaria (BOC de 8 de mayo y 10 de mayo de 2007). </w:t>
      </w:r>
    </w:p>
    <w:p w:rsidR="00FA7413" w:rsidRDefault="00D712A8">
      <w:pPr>
        <w:spacing w:after="129"/>
        <w:ind w:left="360"/>
      </w:pPr>
      <w:r>
        <w:rPr>
          <w:rFonts w:ascii="Arial" w:eastAsia="Arial" w:hAnsi="Arial" w:cs="Arial"/>
          <w:b/>
        </w:rPr>
        <w:t xml:space="preserve"> </w:t>
      </w:r>
    </w:p>
    <w:p w:rsidR="00FA7413" w:rsidRDefault="00D712A8">
      <w:pPr>
        <w:spacing w:after="159" w:line="248" w:lineRule="auto"/>
        <w:ind w:left="1078" w:right="62" w:hanging="10"/>
        <w:jc w:val="both"/>
      </w:pPr>
      <w:r>
        <w:rPr>
          <w:rFonts w:ascii="Arial" w:eastAsia="Arial" w:hAnsi="Arial" w:cs="Arial"/>
          <w:b/>
        </w:rPr>
        <w:t xml:space="preserve">Segundo. - Notificar el presente acuerdo a los interesados”. </w:t>
      </w:r>
    </w:p>
    <w:p w:rsidR="00FA7413" w:rsidRDefault="00D712A8">
      <w:pPr>
        <w:spacing w:after="0" w:line="425" w:lineRule="auto"/>
        <w:ind w:left="360" w:right="9577"/>
      </w:pPr>
      <w:r>
        <w:rPr>
          <w:rFonts w:ascii="Arial" w:eastAsia="Arial" w:hAnsi="Arial" w:cs="Arial"/>
          <w:i/>
          <w:color w:val="222222"/>
        </w:rPr>
        <w:t xml:space="preserve">     </w:t>
      </w:r>
    </w:p>
    <w:p w:rsidR="00FA7413" w:rsidRDefault="00D712A8">
      <w:pPr>
        <w:spacing w:after="93" w:line="249" w:lineRule="auto"/>
        <w:ind w:left="355" w:right="66" w:hanging="10"/>
        <w:jc w:val="both"/>
      </w:pPr>
      <w:r>
        <w:rPr>
          <w:rFonts w:ascii="Arial" w:eastAsia="Arial" w:hAnsi="Arial" w:cs="Arial"/>
          <w:b/>
          <w:sz w:val="24"/>
        </w:rPr>
        <w:t>10.-</w:t>
      </w:r>
      <w:r>
        <w:rPr>
          <w:rFonts w:ascii="Arial" w:eastAsia="Arial" w:hAnsi="Arial" w:cs="Arial"/>
          <w:sz w:val="24"/>
        </w:rPr>
        <w:t xml:space="preserve"> </w:t>
      </w:r>
      <w:r>
        <w:rPr>
          <w:rFonts w:ascii="Arial" w:eastAsia="Arial" w:hAnsi="Arial" w:cs="Arial"/>
          <w:b/>
          <w:sz w:val="24"/>
        </w:rPr>
        <w:t>Expediente 2329/2020.Toma de conocimiento y ejecución de la sentencia del Tribunal Superior de Justicia de Canarias de fecha 14 de marzo de 2011 por la que se estima el recurso interpuesto por Doña Natividad Martín Pérez y Doña Asunción Martín Pérez contra</w:t>
      </w:r>
      <w:r>
        <w:rPr>
          <w:rFonts w:ascii="Arial" w:eastAsia="Arial" w:hAnsi="Arial" w:cs="Arial"/>
          <w:b/>
          <w:sz w:val="24"/>
        </w:rPr>
        <w:t xml:space="preserve"> el PGO de Candelaria.</w:t>
      </w:r>
      <w:r>
        <w:rPr>
          <w:rFonts w:ascii="Arial" w:eastAsia="Arial" w:hAnsi="Arial" w:cs="Arial"/>
        </w:rPr>
        <w:t xml:space="preserve"> </w:t>
      </w:r>
    </w:p>
    <w:p w:rsidR="00FA7413" w:rsidRDefault="00D712A8">
      <w:pPr>
        <w:spacing w:after="98"/>
        <w:ind w:left="360"/>
      </w:pPr>
      <w:r>
        <w:rPr>
          <w:rFonts w:ascii="Arial" w:eastAsia="Arial" w:hAnsi="Arial" w:cs="Arial"/>
        </w:rPr>
        <w:t xml:space="preserve"> </w:t>
      </w:r>
    </w:p>
    <w:p w:rsidR="00FA7413" w:rsidRDefault="00D712A8">
      <w:pPr>
        <w:spacing w:after="112" w:line="248" w:lineRule="auto"/>
        <w:ind w:left="355" w:right="62" w:hanging="10"/>
        <w:jc w:val="both"/>
      </w:pPr>
      <w:r>
        <w:rPr>
          <w:rFonts w:ascii="Arial" w:eastAsia="Arial" w:hAnsi="Arial" w:cs="Arial"/>
          <w:b/>
        </w:rPr>
        <w:t xml:space="preserve">   Consta en el expediente Informe Jurídico emitido por Don Octavio Manuel Fernández Hernández, que desempeña el puesto de trabajo de Secretario General, de 15 de junio de 2021, del siguiente tenor literal:</w:t>
      </w:r>
      <w:r>
        <w:rPr>
          <w:rFonts w:ascii="Arial" w:eastAsia="Arial" w:hAnsi="Arial" w:cs="Arial"/>
        </w:rPr>
        <w:t xml:space="preserve"> </w:t>
      </w:r>
    </w:p>
    <w:p w:rsidR="00FA7413" w:rsidRDefault="00D712A8">
      <w:pPr>
        <w:spacing w:after="112"/>
        <w:ind w:left="360"/>
      </w:pPr>
      <w:r>
        <w:rPr>
          <w:rFonts w:ascii="Arial" w:eastAsia="Arial" w:hAnsi="Arial" w:cs="Arial"/>
        </w:rPr>
        <w:t xml:space="preserve"> </w:t>
      </w:r>
    </w:p>
    <w:p w:rsidR="00FA7413" w:rsidRDefault="00D712A8">
      <w:pPr>
        <w:spacing w:after="112" w:line="248" w:lineRule="auto"/>
        <w:ind w:left="1078" w:right="62" w:hanging="10"/>
        <w:jc w:val="both"/>
      </w:pPr>
      <w:r>
        <w:rPr>
          <w:rFonts w:ascii="Arial" w:eastAsia="Arial" w:hAnsi="Arial" w:cs="Arial"/>
          <w:b/>
        </w:rPr>
        <w:t>“Visto el expediente</w:t>
      </w:r>
      <w:r>
        <w:rPr>
          <w:rFonts w:ascii="Arial" w:eastAsia="Arial" w:hAnsi="Arial" w:cs="Arial"/>
          <w:b/>
        </w:rPr>
        <w:t xml:space="preserve"> antedicho se emite el siguiente informe: </w:t>
      </w:r>
    </w:p>
    <w:p w:rsidR="00FA7413" w:rsidRDefault="00D712A8">
      <w:pPr>
        <w:pStyle w:val="Ttulo1"/>
        <w:ind w:left="1013" w:right="1590"/>
      </w:pPr>
      <w:r>
        <w:t xml:space="preserve">ANTECEDENTES DE HECHO   </w:t>
      </w:r>
    </w:p>
    <w:p w:rsidR="00FA7413" w:rsidRDefault="00D712A8">
      <w:pPr>
        <w:spacing w:after="109" w:line="248" w:lineRule="auto"/>
        <w:ind w:left="345" w:right="64" w:firstLine="708"/>
        <w:jc w:val="both"/>
      </w:pPr>
      <w:r>
        <w:rPr>
          <w:rFonts w:ascii="Arial" w:eastAsia="Arial" w:hAnsi="Arial" w:cs="Arial"/>
          <w:b/>
        </w:rPr>
        <w:t>Primero. -</w:t>
      </w:r>
      <w:r>
        <w:rPr>
          <w:rFonts w:ascii="Arial" w:eastAsia="Arial" w:hAnsi="Arial" w:cs="Arial"/>
        </w:rPr>
        <w:t xml:space="preserve"> </w:t>
      </w:r>
      <w:r>
        <w:rPr>
          <w:rFonts w:ascii="Arial" w:eastAsia="Arial" w:hAnsi="Arial" w:cs="Arial"/>
        </w:rPr>
        <w:t>Por Acuerdo de la Comisión de Ordenación del Territorio y Medio Ambiente de Canarias (COTMAC) del Gobierno de Canarias de 20 de julio de 2006 y de corrección de errores de 10 de noviembre de 2006 se aprobó definitivamente el Plan General de Ordenación Urba</w:t>
      </w:r>
      <w:r>
        <w:rPr>
          <w:rFonts w:ascii="Arial" w:eastAsia="Arial" w:hAnsi="Arial" w:cs="Arial"/>
        </w:rPr>
        <w:t xml:space="preserve">na del municipio de Candelaria (BOC de 8 de mayo y 10 de mayo de 2007) (BOP 17 de mayo de 2007). </w:t>
      </w:r>
    </w:p>
    <w:p w:rsidR="00FA7413" w:rsidRDefault="00D712A8">
      <w:pPr>
        <w:spacing w:after="109" w:line="248" w:lineRule="auto"/>
        <w:ind w:left="345" w:right="64" w:firstLine="708"/>
        <w:jc w:val="both"/>
      </w:pPr>
      <w:r>
        <w:rPr>
          <w:rFonts w:ascii="Arial" w:eastAsia="Arial" w:hAnsi="Arial" w:cs="Arial"/>
          <w:b/>
        </w:rPr>
        <w:t>Segundo. -</w:t>
      </w:r>
      <w:r>
        <w:rPr>
          <w:rFonts w:ascii="Arial" w:eastAsia="Arial" w:hAnsi="Arial" w:cs="Arial"/>
        </w:rPr>
        <w:t xml:space="preserve"> Que se interpuso recurso contencioso-administrativo contra el acuerdo mencionado en el punto primero por Dña Natividad Martín Pérez y Dña. Asunción</w:t>
      </w:r>
      <w:r>
        <w:rPr>
          <w:rFonts w:ascii="Arial" w:eastAsia="Arial" w:hAnsi="Arial" w:cs="Arial"/>
        </w:rPr>
        <w:t xml:space="preserve"> Martín Pérez. </w:t>
      </w:r>
    </w:p>
    <w:p w:rsidR="00FA7413" w:rsidRDefault="00D712A8">
      <w:pPr>
        <w:spacing w:after="109" w:line="248" w:lineRule="auto"/>
        <w:ind w:left="355" w:right="64" w:hanging="10"/>
        <w:jc w:val="both"/>
      </w:pPr>
      <w:r>
        <w:rPr>
          <w:rFonts w:ascii="Arial" w:eastAsia="Arial" w:hAnsi="Arial" w:cs="Arial"/>
        </w:rPr>
        <w:t xml:space="preserve"> </w:t>
      </w:r>
      <w:r>
        <w:rPr>
          <w:rFonts w:ascii="Arial" w:eastAsia="Arial" w:hAnsi="Arial" w:cs="Arial"/>
        </w:rPr>
        <w:tab/>
      </w:r>
      <w:r>
        <w:rPr>
          <w:rFonts w:ascii="Arial" w:eastAsia="Arial" w:hAnsi="Arial" w:cs="Arial"/>
          <w:b/>
        </w:rPr>
        <w:t>Tercero. -</w:t>
      </w:r>
      <w:r>
        <w:rPr>
          <w:rFonts w:ascii="Arial" w:eastAsia="Arial" w:hAnsi="Arial" w:cs="Arial"/>
        </w:rPr>
        <w:t xml:space="preserve"> Que consta en el expediente sentencia que ha remitido Servicios Generales a la Secretaría General con fecha 26 de febrero de 2020: </w:t>
      </w:r>
    </w:p>
    <w:p w:rsidR="00FA7413" w:rsidRDefault="00D712A8">
      <w:pPr>
        <w:spacing w:after="109" w:line="248" w:lineRule="auto"/>
        <w:ind w:left="355" w:right="64" w:hanging="10"/>
        <w:jc w:val="both"/>
      </w:pPr>
      <w:r>
        <w:rPr>
          <w:noProof/>
        </w:rPr>
        <mc:AlternateContent>
          <mc:Choice Requires="wpg">
            <w:drawing>
              <wp:anchor distT="0" distB="0" distL="114300" distR="114300" simplePos="0" relativeHeight="251714560"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08341" name="Group 208341"/>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7984" name="Rectangle 7984"/>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Cód. Validación: 946JAL4TJAGYNDDM76ZM7ZAYZ | Verificación: https://candelaria.sedelectronica</w:t>
                              </w:r>
                              <w:r>
                                <w:rPr>
                                  <w:rFonts w:ascii="Arial" w:eastAsia="Arial" w:hAnsi="Arial" w:cs="Arial"/>
                                  <w:sz w:val="12"/>
                                </w:rPr>
                                <w:t xml:space="preserve">.es/ </w:t>
                              </w:r>
                            </w:p>
                          </w:txbxContent>
                        </wps:txbx>
                        <wps:bodyPr horzOverflow="overflow" vert="horz" lIns="0" tIns="0" rIns="0" bIns="0" rtlCol="0">
                          <a:noAutofit/>
                        </wps:bodyPr>
                      </wps:wsp>
                      <wps:wsp>
                        <wps:cNvPr id="7985" name="Rectangle 7985"/>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54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8341" style="width:12.7031pt;height:275.586pt;position:absolute;mso-position-horizontal-relative:page;mso-position-horizontal:absolute;margin-left:682.278pt;mso-position-vertical-relative:page;margin-top:536.334pt;" coordsize="1613,34999">
                <v:rect id="Rectangle 7984"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7985"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54 de 180 </w:t>
                        </w:r>
                      </w:p>
                    </w:txbxContent>
                  </v:textbox>
                </v:rect>
                <w10:wrap type="square"/>
              </v:group>
            </w:pict>
          </mc:Fallback>
        </mc:AlternateContent>
      </w:r>
      <w:r>
        <w:rPr>
          <w:rFonts w:ascii="Arial" w:eastAsia="Arial" w:hAnsi="Arial" w:cs="Arial"/>
        </w:rPr>
        <w:t>Sentencia de 14 de marzo de 2011. Procedimiento ordinario 116/2007. Sala de lo Contencioso</w:t>
      </w:r>
      <w:r>
        <w:rPr>
          <w:rFonts w:ascii="Arial" w:eastAsia="Arial" w:hAnsi="Arial" w:cs="Arial"/>
        </w:rPr>
        <w:t xml:space="preserve">Administrativo del Tribunal Superior de Justicia de Canarias. Sección Segunda. Santa Cruz de Tenerife. </w:t>
      </w:r>
    </w:p>
    <w:p w:rsidR="00FA7413" w:rsidRDefault="00D712A8">
      <w:pPr>
        <w:spacing w:after="109" w:line="248" w:lineRule="auto"/>
        <w:ind w:left="355" w:right="64" w:hanging="10"/>
        <w:jc w:val="both"/>
      </w:pPr>
      <w:r>
        <w:rPr>
          <w:rFonts w:ascii="Arial" w:eastAsia="Arial" w:hAnsi="Arial" w:cs="Arial"/>
        </w:rPr>
        <w:t xml:space="preserve">Reproducimos los Fundamentos de derecho: </w:t>
      </w:r>
    </w:p>
    <w:p w:rsidR="00FA7413" w:rsidRDefault="00D712A8">
      <w:pPr>
        <w:spacing w:after="112" w:line="247" w:lineRule="auto"/>
        <w:ind w:left="355" w:right="62" w:hanging="10"/>
        <w:jc w:val="both"/>
      </w:pPr>
      <w:r>
        <w:rPr>
          <w:rFonts w:ascii="Arial" w:eastAsia="Arial" w:hAnsi="Arial" w:cs="Arial"/>
          <w:i/>
        </w:rPr>
        <w:t>FJ primero.- El recurso contencioso-administrativo se interpone contra el Acuerdo de la Comisión de Ordenación</w:t>
      </w:r>
      <w:r>
        <w:rPr>
          <w:rFonts w:ascii="Arial" w:eastAsia="Arial" w:hAnsi="Arial" w:cs="Arial"/>
          <w:i/>
        </w:rPr>
        <w:t xml:space="preserve"> del Territorio y Medio Ambiente de Canarias de 20 de julio de 2016, por el que se aprueba definitivamente el Plan General de Ordenación de Candelaria, en cuanto establece una actuación urbanística aislada en suelo urbano AUA-C5/la Puntita. </w:t>
      </w:r>
    </w:p>
    <w:p w:rsidR="00FA7413" w:rsidRDefault="00D712A8">
      <w:pPr>
        <w:spacing w:after="112" w:line="247" w:lineRule="auto"/>
        <w:ind w:left="355" w:right="62" w:hanging="10"/>
        <w:jc w:val="both"/>
      </w:pPr>
      <w:r>
        <w:rPr>
          <w:rFonts w:ascii="Arial" w:eastAsia="Arial" w:hAnsi="Arial" w:cs="Arial"/>
          <w:i/>
        </w:rPr>
        <w:t>FJ segundo.- L</w:t>
      </w:r>
      <w:r>
        <w:rPr>
          <w:rFonts w:ascii="Arial" w:eastAsia="Arial" w:hAnsi="Arial" w:cs="Arial"/>
          <w:i/>
        </w:rPr>
        <w:t xml:space="preserve">a parcela propiedad  de la demandante es suelo urbano consolidado por disponer de los servicios enumerados en el artículo 51.1 a) del TRLOTCENC. Sobre este punto no hay verdadera controversia porque es aceptado por las partes contendientes, y se desprende </w:t>
      </w:r>
      <w:r>
        <w:rPr>
          <w:rFonts w:ascii="Arial" w:eastAsia="Arial" w:hAnsi="Arial" w:cs="Arial"/>
          <w:i/>
        </w:rPr>
        <w:t xml:space="preserve">de la prueba practicada, en especial del informe percial de parte. También se comprueba la consolidación por la edificación a partir de la mera observación de las fotografías que se aportan. </w:t>
      </w:r>
    </w:p>
    <w:p w:rsidR="00FA7413" w:rsidRDefault="00D712A8">
      <w:pPr>
        <w:spacing w:after="112" w:line="247" w:lineRule="auto"/>
        <w:ind w:left="355" w:right="62" w:hanging="10"/>
        <w:jc w:val="both"/>
      </w:pPr>
      <w:r>
        <w:rPr>
          <w:rFonts w:ascii="Arial" w:eastAsia="Arial" w:hAnsi="Arial" w:cs="Arial"/>
          <w:i/>
        </w:rPr>
        <w:t>FJ tercero.- La ficha de la AUA-C5/ La Puntita prevé un uso de l</w:t>
      </w:r>
      <w:r>
        <w:rPr>
          <w:rFonts w:ascii="Arial" w:eastAsia="Arial" w:hAnsi="Arial" w:cs="Arial"/>
          <w:i/>
        </w:rPr>
        <w:t xml:space="preserve">a parcela como suelo urbano, edificación abierta 3 plantas, residencial, con una edificabilidad neta de 0,682 metros cuadrados, superficie del ámbito 2371 metros cuadrados; de los cuales se destinan a zona verde 262 metros cuadrados y a viario 1238 metros </w:t>
      </w:r>
      <w:r>
        <w:rPr>
          <w:rFonts w:ascii="Arial" w:eastAsia="Arial" w:hAnsi="Arial" w:cs="Arial"/>
          <w:i/>
        </w:rPr>
        <w:t xml:space="preserve">cuadrados. Como sistema de ejecución se establece el privado por concierto, a desarrollar media convenio urbanístico. </w:t>
      </w:r>
    </w:p>
    <w:p w:rsidR="00FA7413" w:rsidRDefault="00D712A8">
      <w:pPr>
        <w:spacing w:after="112" w:line="247" w:lineRule="auto"/>
        <w:ind w:left="355" w:right="62" w:hanging="10"/>
        <w:jc w:val="both"/>
      </w:pPr>
      <w:r>
        <w:rPr>
          <w:rFonts w:ascii="Arial" w:eastAsia="Arial" w:hAnsi="Arial" w:cs="Arial"/>
          <w:i/>
        </w:rPr>
        <w:t>Bajo la denominación de una actuación urbanística aislada se está realmente configurando una unidad de actuación en suelo urbano consolid</w:t>
      </w:r>
      <w:r>
        <w:rPr>
          <w:rFonts w:ascii="Arial" w:eastAsia="Arial" w:hAnsi="Arial" w:cs="Arial"/>
          <w:i/>
        </w:rPr>
        <w:t>ado, imponiendo al propietario del suelo cesiones gratuitas para ejecutar zonas verdes y viario. Dentro del ámbito de la actuación urbanística aislada no se incluye únicamente el suelo necesario para ejecutar las obras públicas que se proyectan, sino que s</w:t>
      </w:r>
      <w:r>
        <w:rPr>
          <w:rFonts w:ascii="Arial" w:eastAsia="Arial" w:hAnsi="Arial" w:cs="Arial"/>
          <w:i/>
        </w:rPr>
        <w:t xml:space="preserve">e somete toda la parcela al sistema de ejecución que en la misma se proyecta. De esta manera el propietario del suelo, si quiere hacer uso de su derecho a edificar, debe aceptar las cesiones que se prevén para el ámbito en cuestión. </w:t>
      </w:r>
    </w:p>
    <w:p w:rsidR="00FA7413" w:rsidRDefault="00D712A8">
      <w:pPr>
        <w:spacing w:after="112" w:line="247" w:lineRule="auto"/>
        <w:ind w:left="355" w:right="62" w:hanging="10"/>
        <w:jc w:val="both"/>
      </w:pPr>
      <w:r>
        <w:rPr>
          <w:rFonts w:ascii="Arial" w:eastAsia="Arial" w:hAnsi="Arial" w:cs="Arial"/>
          <w:i/>
        </w:rPr>
        <w:t xml:space="preserve">Pero sabido es que en </w:t>
      </w:r>
      <w:r>
        <w:rPr>
          <w:rFonts w:ascii="Arial" w:eastAsia="Arial" w:hAnsi="Arial" w:cs="Arial"/>
          <w:i/>
        </w:rPr>
        <w:t>suelo urbano consolidado el propietario del suelo no tiene otras obligaciones distintas a las enumeradas en el artículo 73 Texto Refundido de las Leyes de Ordenación del Territorio de Canarias y Espacios Naturales de Canarias, aprobado por Decreto Legislat</w:t>
      </w:r>
      <w:r>
        <w:rPr>
          <w:rFonts w:ascii="Arial" w:eastAsia="Arial" w:hAnsi="Arial" w:cs="Arial"/>
          <w:i/>
        </w:rPr>
        <w:t>ivo 1/2000, de 8 de mayo, que no comprenden la cesión gratuita de suelo para viario, espacios libres o dotaciones. Por ello en esta categoría de suelo urbano no se permite la ejecución del planeamiento mediante la delimitación de unidades de actuación , si</w:t>
      </w:r>
      <w:r>
        <w:rPr>
          <w:rFonts w:ascii="Arial" w:eastAsia="Arial" w:hAnsi="Arial" w:cs="Arial"/>
          <w:i/>
        </w:rPr>
        <w:t xml:space="preserve">no que la ejecución debe realizarse a través de actuaciones aisladas. </w:t>
      </w:r>
    </w:p>
    <w:p w:rsidR="00FA7413" w:rsidRDefault="00D712A8">
      <w:pPr>
        <w:spacing w:after="146" w:line="247" w:lineRule="auto"/>
        <w:ind w:left="355" w:right="62" w:hanging="10"/>
        <w:jc w:val="both"/>
      </w:pPr>
      <w:r>
        <w:rPr>
          <w:rFonts w:ascii="Arial" w:eastAsia="Arial" w:hAnsi="Arial" w:cs="Arial"/>
          <w:i/>
        </w:rPr>
        <w:t>La prohibición de delimitar unidades de actuación en suelo urbano consolidado no es respetada por el planeamiento impugnado. La unidad de actuación se denomina actuación urbanística ais</w:t>
      </w:r>
      <w:r>
        <w:rPr>
          <w:rFonts w:ascii="Arial" w:eastAsia="Arial" w:hAnsi="Arial" w:cs="Arial"/>
          <w:i/>
        </w:rPr>
        <w:t xml:space="preserve">lada pero reúne todas las características de la primera. Al incluir toda la parcela en la delimitación, no solo el suelo necesario para ejecutar obras públicas, se condiciona la posibilidad de edificar a que se acepte un convenio urbanístico de cesión del </w:t>
      </w:r>
      <w:r>
        <w:rPr>
          <w:rFonts w:ascii="Arial" w:eastAsia="Arial" w:hAnsi="Arial" w:cs="Arial"/>
          <w:i/>
        </w:rPr>
        <w:t xml:space="preserve">suelo necesario para ejecutar los viarios y espacios libres que se proyectan.  </w:t>
      </w:r>
    </w:p>
    <w:p w:rsidR="00FA7413" w:rsidRDefault="00D712A8">
      <w:pPr>
        <w:spacing w:after="3" w:line="352" w:lineRule="auto"/>
        <w:ind w:left="355" w:right="1294" w:hanging="10"/>
        <w:jc w:val="both"/>
      </w:pPr>
      <w:r>
        <w:rPr>
          <w:rFonts w:ascii="Arial" w:eastAsia="Arial" w:hAnsi="Arial" w:cs="Arial"/>
          <w:i/>
        </w:rPr>
        <w:t xml:space="preserve">FJ cuarto.- No se hace especial pronunciamiento sobre las costas (…) </w:t>
      </w:r>
      <w:r>
        <w:rPr>
          <w:rFonts w:ascii="Arial" w:eastAsia="Arial" w:hAnsi="Arial" w:cs="Arial"/>
        </w:rPr>
        <w:t xml:space="preserve">Reproducimos el fallo: </w:t>
      </w:r>
    </w:p>
    <w:p w:rsidR="00FA7413" w:rsidRDefault="00D712A8">
      <w:pPr>
        <w:spacing w:after="112" w:line="247" w:lineRule="auto"/>
        <w:ind w:left="355" w:right="62" w:hanging="10"/>
        <w:jc w:val="both"/>
      </w:pPr>
      <w:r>
        <w:rPr>
          <w:noProof/>
        </w:rPr>
        <mc:AlternateContent>
          <mc:Choice Requires="wpg">
            <w:drawing>
              <wp:anchor distT="0" distB="0" distL="114300" distR="114300" simplePos="0" relativeHeight="251715584"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08215" name="Group 208215"/>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8085" name="Rectangle 8085"/>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Cód. Validación: 946JAL4TJAGYNDDM76ZM7ZAYZ | Verificación: https://candelaria.se</w:t>
                              </w:r>
                              <w:r>
                                <w:rPr>
                                  <w:rFonts w:ascii="Arial" w:eastAsia="Arial" w:hAnsi="Arial" w:cs="Arial"/>
                                  <w:sz w:val="12"/>
                                </w:rPr>
                                <w:t xml:space="preserve">delectronica.es/ </w:t>
                              </w:r>
                            </w:p>
                          </w:txbxContent>
                        </wps:txbx>
                        <wps:bodyPr horzOverflow="overflow" vert="horz" lIns="0" tIns="0" rIns="0" bIns="0" rtlCol="0">
                          <a:noAutofit/>
                        </wps:bodyPr>
                      </wps:wsp>
                      <wps:wsp>
                        <wps:cNvPr id="8086" name="Rectangle 8086"/>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55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8215" style="width:12.7031pt;height:275.586pt;position:absolute;mso-position-horizontal-relative:page;mso-position-horizontal:absolute;margin-left:682.278pt;mso-position-vertical-relative:page;margin-top:536.334pt;" coordsize="1613,34999">
                <v:rect id="Rectangle 8085"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8086"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55 de 180 </w:t>
                        </w:r>
                      </w:p>
                    </w:txbxContent>
                  </v:textbox>
                </v:rect>
                <w10:wrap type="square"/>
              </v:group>
            </w:pict>
          </mc:Fallback>
        </mc:AlternateContent>
      </w:r>
      <w:r>
        <w:rPr>
          <w:rFonts w:ascii="Arial" w:eastAsia="Arial" w:hAnsi="Arial" w:cs="Arial"/>
          <w:i/>
        </w:rPr>
        <w:t>Estimamos el recurso contencioso-administrativo nº 116/2007, anulamos la AUA-C5/La Puntita por imponer cesiones gratuitas de suelo a una parce</w:t>
      </w:r>
      <w:r>
        <w:rPr>
          <w:rFonts w:ascii="Arial" w:eastAsia="Arial" w:hAnsi="Arial" w:cs="Arial"/>
          <w:i/>
        </w:rPr>
        <w:t xml:space="preserve">la que es suelo urbano consolidado, sin imposición de costas. </w:t>
      </w:r>
    </w:p>
    <w:p w:rsidR="00FA7413" w:rsidRDefault="00D712A8">
      <w:pPr>
        <w:spacing w:after="112" w:line="248" w:lineRule="auto"/>
        <w:ind w:left="345" w:right="62" w:firstLine="708"/>
        <w:jc w:val="both"/>
      </w:pPr>
      <w:r>
        <w:rPr>
          <w:rFonts w:ascii="Arial" w:eastAsia="Arial" w:hAnsi="Arial" w:cs="Arial"/>
          <w:b/>
        </w:rPr>
        <w:t xml:space="preserve">Cuarto. - </w:t>
      </w:r>
      <w:r>
        <w:rPr>
          <w:rFonts w:ascii="Arial" w:eastAsia="Arial" w:hAnsi="Arial" w:cs="Arial"/>
          <w:b/>
        </w:rPr>
        <w:t xml:space="preserve">Consta en el expediente informe técnico de la Arquitecta de la Oficina Técnica de 14 de septiembre de 2020 sobre la ejecución de la presente sentencia con la elaboración de la nueva ficha del PGO para cumplir con dicha sentencia: </w:t>
      </w:r>
    </w:p>
    <w:p w:rsidR="00FA7413" w:rsidRDefault="00D712A8">
      <w:pPr>
        <w:spacing w:after="100"/>
        <w:ind w:left="1068"/>
      </w:pPr>
      <w:r>
        <w:rPr>
          <w:rFonts w:ascii="Arial" w:eastAsia="Arial" w:hAnsi="Arial" w:cs="Arial"/>
          <w:b/>
        </w:rPr>
        <w:t xml:space="preserve"> </w:t>
      </w:r>
    </w:p>
    <w:p w:rsidR="00FA7413" w:rsidRDefault="00D712A8">
      <w:pPr>
        <w:spacing w:after="11" w:line="248" w:lineRule="auto"/>
        <w:ind w:left="355" w:right="64" w:hanging="10"/>
        <w:jc w:val="both"/>
      </w:pPr>
      <w:r>
        <w:rPr>
          <w:rFonts w:ascii="Arial" w:eastAsia="Arial" w:hAnsi="Arial" w:cs="Arial"/>
        </w:rPr>
        <w:t xml:space="preserve">ANTECEDENTES: </w:t>
      </w:r>
    </w:p>
    <w:p w:rsidR="00FA7413" w:rsidRDefault="00D712A8">
      <w:pPr>
        <w:spacing w:after="12"/>
        <w:ind w:left="360"/>
      </w:pPr>
      <w:r>
        <w:rPr>
          <w:rFonts w:ascii="Arial" w:eastAsia="Arial" w:hAnsi="Arial" w:cs="Arial"/>
        </w:rPr>
        <w:t xml:space="preserve"> </w:t>
      </w:r>
    </w:p>
    <w:p w:rsidR="00FA7413" w:rsidRDefault="00D712A8">
      <w:pPr>
        <w:numPr>
          <w:ilvl w:val="0"/>
          <w:numId w:val="15"/>
        </w:numPr>
        <w:spacing w:after="0" w:line="248" w:lineRule="auto"/>
        <w:ind w:right="64" w:hanging="360"/>
        <w:jc w:val="both"/>
      </w:pPr>
      <w:r>
        <w:rPr>
          <w:rFonts w:ascii="Arial" w:eastAsia="Arial" w:hAnsi="Arial" w:cs="Arial"/>
        </w:rPr>
        <w:t>El sue</w:t>
      </w:r>
      <w:r>
        <w:rPr>
          <w:rFonts w:ascii="Arial" w:eastAsia="Arial" w:hAnsi="Arial" w:cs="Arial"/>
        </w:rPr>
        <w:t xml:space="preserve">lo objeto del presente informe conforme al PLAN GENERAL DE ORDENACIÓN, planeamiento municipal en vigor, con publicaciones en B.O.C. de fecha 10 de mayo de 2007 y B.O.P. de fecha 17 de mayo de 2007  y Modificaciones Puntuales, aprobadas definitivamente por </w:t>
      </w:r>
      <w:r>
        <w:rPr>
          <w:rFonts w:ascii="Arial" w:eastAsia="Arial" w:hAnsi="Arial" w:cs="Arial"/>
        </w:rPr>
        <w:t>acuerdo del Ayuntamiento Pleno, en sesiones ordinarias de fecha 26 de marzo de 2009 y 29 de diciembre de 2011 y publicada en el BOP de Santa Cruz de Tenerife de fecha 17 de junio de 2009 y 3 de febrero de 2012, respectivamente, se encuentra clasificada, ca</w:t>
      </w:r>
      <w:r>
        <w:rPr>
          <w:rFonts w:ascii="Arial" w:eastAsia="Arial" w:hAnsi="Arial" w:cs="Arial"/>
        </w:rPr>
        <w:t xml:space="preserve">tegorizada y calificada como: </w:t>
      </w:r>
      <w:r>
        <w:rPr>
          <w:rFonts w:ascii="Times New Roman" w:eastAsia="Times New Roman" w:hAnsi="Times New Roman" w:cs="Times New Roman"/>
          <w:sz w:val="24"/>
        </w:rPr>
        <w:t xml:space="preserve"> </w:t>
      </w:r>
    </w:p>
    <w:p w:rsidR="00FA7413" w:rsidRDefault="00D712A8">
      <w:pPr>
        <w:spacing w:after="0" w:line="248" w:lineRule="auto"/>
        <w:ind w:left="628" w:right="64" w:hanging="283"/>
        <w:jc w:val="both"/>
      </w:pPr>
      <w:r>
        <w:rPr>
          <w:rFonts w:ascii="Arial" w:eastAsia="Arial" w:hAnsi="Arial" w:cs="Arial"/>
        </w:rPr>
        <w:t xml:space="preserve">    Suelo Urbano consolidado. Incluido en la actuación urbanística aislada AUA-C5. La Puntita. Edificación Cerrada con jardín delantero 3 plantas. Uso residencial plurifamiliar </w:t>
      </w:r>
    </w:p>
    <w:p w:rsidR="00FA7413" w:rsidRDefault="00D712A8">
      <w:pPr>
        <w:spacing w:after="0"/>
        <w:ind w:left="360"/>
      </w:pPr>
      <w:r>
        <w:rPr>
          <w:rFonts w:ascii="Arial" w:eastAsia="Arial" w:hAnsi="Arial" w:cs="Arial"/>
        </w:rPr>
        <w:t xml:space="preserve"> </w:t>
      </w:r>
    </w:p>
    <w:p w:rsidR="00FA7413" w:rsidRDefault="00D712A8">
      <w:pPr>
        <w:spacing w:after="50"/>
        <w:ind w:right="1827"/>
        <w:jc w:val="right"/>
      </w:pPr>
      <w:r>
        <w:rPr>
          <w:noProof/>
        </w:rPr>
        <w:drawing>
          <wp:inline distT="0" distB="0" distL="0" distR="0">
            <wp:extent cx="3747250" cy="3246120"/>
            <wp:effectExtent l="0" t="0" r="0" b="0"/>
            <wp:docPr id="8112" name="Picture 8112"/>
            <wp:cNvGraphicFramePr/>
            <a:graphic xmlns:a="http://schemas.openxmlformats.org/drawingml/2006/main">
              <a:graphicData uri="http://schemas.openxmlformats.org/drawingml/2006/picture">
                <pic:pic xmlns:pic="http://schemas.openxmlformats.org/drawingml/2006/picture">
                  <pic:nvPicPr>
                    <pic:cNvPr id="8112" name="Picture 8112"/>
                    <pic:cNvPicPr/>
                  </pic:nvPicPr>
                  <pic:blipFill>
                    <a:blip r:embed="rId9"/>
                    <a:stretch>
                      <a:fillRect/>
                    </a:stretch>
                  </pic:blipFill>
                  <pic:spPr>
                    <a:xfrm>
                      <a:off x="0" y="0"/>
                      <a:ext cx="3747250" cy="3246120"/>
                    </a:xfrm>
                    <a:prstGeom prst="rect">
                      <a:avLst/>
                    </a:prstGeom>
                  </pic:spPr>
                </pic:pic>
              </a:graphicData>
            </a:graphic>
          </wp:inline>
        </w:drawing>
      </w:r>
      <w:r>
        <w:rPr>
          <w:rFonts w:ascii="Arial" w:eastAsia="Arial" w:hAnsi="Arial" w:cs="Arial"/>
        </w:rPr>
        <w:t xml:space="preserve"> </w:t>
      </w:r>
    </w:p>
    <w:p w:rsidR="00FA7413" w:rsidRDefault="00D712A8">
      <w:pPr>
        <w:spacing w:after="100"/>
        <w:ind w:left="5142"/>
      </w:pPr>
      <w:r>
        <w:rPr>
          <w:noProof/>
        </w:rPr>
        <mc:AlternateContent>
          <mc:Choice Requires="wpg">
            <w:drawing>
              <wp:anchor distT="0" distB="0" distL="114300" distR="114300" simplePos="0" relativeHeight="251716608" behindDoc="0" locked="0" layoutInCell="1" allowOverlap="1">
                <wp:simplePos x="0" y="0"/>
                <wp:positionH relativeFrom="page">
                  <wp:posOffset>8664935</wp:posOffset>
                </wp:positionH>
                <wp:positionV relativeFrom="page">
                  <wp:posOffset>6811442</wp:posOffset>
                </wp:positionV>
                <wp:extent cx="161330" cy="3499942"/>
                <wp:effectExtent l="0" t="0" r="0" b="0"/>
                <wp:wrapTopAndBottom/>
                <wp:docPr id="209697" name="Group 209697"/>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8115" name="Rectangle 8115"/>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Cód. Validación: 946JAL4TJAGYNDDM76ZM7</w:t>
                              </w:r>
                              <w:r>
                                <w:rPr>
                                  <w:rFonts w:ascii="Arial" w:eastAsia="Arial" w:hAnsi="Arial" w:cs="Arial"/>
                                  <w:sz w:val="12"/>
                                </w:rPr>
                                <w:t xml:space="preserve">ZAYZ | Verificación: https://candelaria.sedelectronica.es/ </w:t>
                              </w:r>
                            </w:p>
                          </w:txbxContent>
                        </wps:txbx>
                        <wps:bodyPr horzOverflow="overflow" vert="horz" lIns="0" tIns="0" rIns="0" bIns="0" rtlCol="0">
                          <a:noAutofit/>
                        </wps:bodyPr>
                      </wps:wsp>
                      <wps:wsp>
                        <wps:cNvPr id="8116" name="Rectangle 8116"/>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56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9697" style="width:12.7031pt;height:275.586pt;position:absolute;mso-position-horizontal-relative:page;mso-position-horizontal:absolute;margin-left:682.278pt;mso-position-vertical-relative:page;margin-top:536.334pt;" coordsize="1613,34999">
                <v:rect id="Rectangle 8115"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8116"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56 de 180 </w:t>
                        </w:r>
                      </w:p>
                    </w:txbxContent>
                  </v:textbox>
                </v:rect>
                <w10:wrap type="topAndBottom"/>
              </v:group>
            </w:pict>
          </mc:Fallback>
        </mc:AlternateContent>
      </w:r>
      <w:r>
        <w:rPr>
          <w:rFonts w:ascii="Arial" w:eastAsia="Arial" w:hAnsi="Arial" w:cs="Arial"/>
        </w:rPr>
        <w:t xml:space="preserve"> </w:t>
      </w:r>
    </w:p>
    <w:p w:rsidR="00FA7413" w:rsidRDefault="00D712A8">
      <w:pPr>
        <w:spacing w:after="0"/>
        <w:ind w:left="5142"/>
      </w:pPr>
      <w:r>
        <w:rPr>
          <w:rFonts w:ascii="Arial" w:eastAsia="Arial" w:hAnsi="Arial" w:cs="Arial"/>
        </w:rPr>
        <w:t xml:space="preserve"> </w:t>
      </w:r>
    </w:p>
    <w:p w:rsidR="00FA7413" w:rsidRDefault="00D712A8">
      <w:pPr>
        <w:spacing w:after="0"/>
        <w:ind w:right="219"/>
        <w:jc w:val="right"/>
      </w:pPr>
      <w:r>
        <w:rPr>
          <w:noProof/>
        </w:rPr>
        <w:drawing>
          <wp:inline distT="0" distB="0" distL="0" distR="0">
            <wp:extent cx="5937504" cy="6854952"/>
            <wp:effectExtent l="0" t="0" r="0" b="0"/>
            <wp:docPr id="237656" name="Picture 237656"/>
            <wp:cNvGraphicFramePr/>
            <a:graphic xmlns:a="http://schemas.openxmlformats.org/drawingml/2006/main">
              <a:graphicData uri="http://schemas.openxmlformats.org/drawingml/2006/picture">
                <pic:pic xmlns:pic="http://schemas.openxmlformats.org/drawingml/2006/picture">
                  <pic:nvPicPr>
                    <pic:cNvPr id="237656" name="Picture 237656"/>
                    <pic:cNvPicPr/>
                  </pic:nvPicPr>
                  <pic:blipFill>
                    <a:blip r:embed="rId10"/>
                    <a:stretch>
                      <a:fillRect/>
                    </a:stretch>
                  </pic:blipFill>
                  <pic:spPr>
                    <a:xfrm>
                      <a:off x="0" y="0"/>
                      <a:ext cx="5937504" cy="6854952"/>
                    </a:xfrm>
                    <a:prstGeom prst="rect">
                      <a:avLst/>
                    </a:prstGeom>
                  </pic:spPr>
                </pic:pic>
              </a:graphicData>
            </a:graphic>
          </wp:inline>
        </w:drawing>
      </w:r>
      <w:r>
        <w:rPr>
          <w:rFonts w:ascii="Times New Roman" w:eastAsia="Times New Roman" w:hAnsi="Times New Roman" w:cs="Times New Roman"/>
          <w:sz w:val="24"/>
        </w:rPr>
        <w:t xml:space="preserve"> </w: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numPr>
          <w:ilvl w:val="0"/>
          <w:numId w:val="15"/>
        </w:numPr>
        <w:spacing w:after="3" w:line="241" w:lineRule="auto"/>
        <w:ind w:right="64" w:hanging="360"/>
        <w:jc w:val="both"/>
      </w:pPr>
      <w:r>
        <w:rPr>
          <w:noProof/>
        </w:rPr>
        <mc:AlternateContent>
          <mc:Choice Requires="wpg">
            <w:drawing>
              <wp:anchor distT="0" distB="0" distL="114300" distR="114300" simplePos="0" relativeHeight="251717632"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09170" name="Group 209170"/>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8152" name="Rectangle 8152"/>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8153" name="Rectangle 8153"/>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57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9170" style="width:12.7031pt;height:275.586pt;position:absolute;mso-position-horizontal-relative:page;mso-position-horizontal:absolute;margin-left:682.278pt;mso-position-vertical-relative:page;margin-top:536.334pt;" coordsize="1613,34999">
                <v:rect id="Rectangle 8152"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8153"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57 de 180 </w:t>
                        </w:r>
                      </w:p>
                    </w:txbxContent>
                  </v:textbox>
                </v:rect>
                <w10:wrap type="square"/>
              </v:group>
            </w:pict>
          </mc:Fallback>
        </mc:AlternateContent>
      </w:r>
      <w:r>
        <w:rPr>
          <w:rFonts w:ascii="Arial" w:eastAsia="Arial" w:hAnsi="Arial" w:cs="Arial"/>
        </w:rPr>
        <w:t>Con fecha 14 de marzo de 2011, se dicta sentencia por parte de</w:t>
      </w:r>
      <w:r>
        <w:rPr>
          <w:rFonts w:ascii="Arial" w:eastAsia="Arial" w:hAnsi="Arial" w:cs="Arial"/>
        </w:rPr>
        <w:t xml:space="preserve">l Tribunal superior de Justicia de Canarias, Sala Contencioso Administrativo, Sala Segunda, en el Procedimiento Ordinario nº116/2007, en el que se falla </w:t>
      </w:r>
      <w:r>
        <w:rPr>
          <w:rFonts w:ascii="Arial" w:eastAsia="Arial" w:hAnsi="Arial" w:cs="Arial"/>
          <w:i/>
        </w:rPr>
        <w:t>anular la AUA-C5 La Puntita.</w:t>
      </w:r>
      <w:r>
        <w:rPr>
          <w:rFonts w:ascii="Times New Roman" w:eastAsia="Times New Roman" w:hAnsi="Times New Roman" w:cs="Times New Roman"/>
          <w:sz w:val="24"/>
        </w:rPr>
        <w:t xml:space="preserve"> </w:t>
      </w:r>
    </w:p>
    <w:p w:rsidR="00FA7413" w:rsidRDefault="00D712A8">
      <w:pPr>
        <w:spacing w:after="0"/>
        <w:ind w:left="360"/>
      </w:pPr>
      <w:r>
        <w:rPr>
          <w:rFonts w:ascii="Arial" w:eastAsia="Arial" w:hAnsi="Arial" w:cs="Arial"/>
        </w:rPr>
        <w:t xml:space="preserve"> </w:t>
      </w:r>
    </w:p>
    <w:p w:rsidR="00FA7413" w:rsidRDefault="00D712A8">
      <w:pPr>
        <w:numPr>
          <w:ilvl w:val="0"/>
          <w:numId w:val="15"/>
        </w:numPr>
        <w:spacing w:after="0" w:line="248" w:lineRule="auto"/>
        <w:ind w:right="64" w:hanging="360"/>
        <w:jc w:val="both"/>
      </w:pPr>
      <w:r>
        <w:rPr>
          <w:rFonts w:ascii="Arial" w:eastAsia="Arial" w:hAnsi="Arial" w:cs="Arial"/>
        </w:rPr>
        <w:t>Con fecha 30 de octubre de 2017 y registro nº 28887 Doña Natividad Mart</w:t>
      </w:r>
      <w:r>
        <w:rPr>
          <w:rFonts w:ascii="Arial" w:eastAsia="Arial" w:hAnsi="Arial" w:cs="Arial"/>
        </w:rPr>
        <w:t xml:space="preserve">ín Pérez, solicita se tramite el correspondiente expediente de cumplimiento voluntario de la citada sentencia </w:t>
      </w:r>
    </w:p>
    <w:p w:rsidR="00FA7413" w:rsidRDefault="00D712A8">
      <w:pPr>
        <w:spacing w:after="12" w:line="228" w:lineRule="auto"/>
        <w:ind w:left="360" w:right="9577"/>
      </w:pPr>
      <w:r>
        <w:rPr>
          <w:rFonts w:ascii="Arial" w:eastAsia="Arial" w:hAnsi="Arial" w:cs="Arial"/>
        </w:rPr>
        <w:t xml:space="preserve"> </w:t>
      </w:r>
      <w:r>
        <w:rPr>
          <w:rFonts w:ascii="Times New Roman" w:eastAsia="Times New Roman" w:hAnsi="Times New Roman" w:cs="Times New Roman"/>
          <w:sz w:val="24"/>
        </w:rPr>
        <w:t xml:space="preserve"> </w: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spacing w:after="11" w:line="248" w:lineRule="auto"/>
        <w:ind w:left="355" w:right="64" w:hanging="10"/>
        <w:jc w:val="both"/>
      </w:pPr>
      <w:r>
        <w:rPr>
          <w:rFonts w:ascii="Arial" w:eastAsia="Arial" w:hAnsi="Arial" w:cs="Arial"/>
        </w:rPr>
        <w:t xml:space="preserve">INFORME: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El suelo objeto del presente informe, pertenece a una única parcela catastral con referencia 5677860CS6357N0001KW</w:t>
      </w:r>
      <w:r>
        <w:rPr>
          <w:rFonts w:ascii="Times New Roman" w:eastAsia="Times New Roman" w:hAnsi="Times New Roman" w:cs="Times New Roman"/>
          <w:sz w:val="24"/>
        </w:rPr>
        <w:t xml:space="preserve"> </w:t>
      </w:r>
    </w:p>
    <w:p w:rsidR="00FA7413" w:rsidRDefault="00D712A8">
      <w:pPr>
        <w:spacing w:after="0"/>
        <w:ind w:left="360"/>
      </w:pPr>
      <w:r>
        <w:rPr>
          <w:noProof/>
        </w:rPr>
        <mc:AlternateContent>
          <mc:Choice Requires="wpg">
            <w:drawing>
              <wp:anchor distT="0" distB="0" distL="114300" distR="114300" simplePos="0" relativeHeight="251718656" behindDoc="0" locked="0" layoutInCell="1" allowOverlap="1">
                <wp:simplePos x="0" y="0"/>
                <wp:positionH relativeFrom="page">
                  <wp:posOffset>8664935</wp:posOffset>
                </wp:positionH>
                <wp:positionV relativeFrom="page">
                  <wp:posOffset>6811442</wp:posOffset>
                </wp:positionV>
                <wp:extent cx="161330" cy="3499942"/>
                <wp:effectExtent l="0" t="0" r="0" b="0"/>
                <wp:wrapTopAndBottom/>
                <wp:docPr id="209247" name="Group 209247"/>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8209" name="Rectangle 8209"/>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8210" name="Rectangle 8210"/>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58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9247" style="width:12.7031pt;height:275.586pt;position:absolute;mso-position-horizontal-relative:page;mso-position-horizontal:absolute;margin-left:682.278pt;mso-position-vertical-relative:page;margin-top:536.334pt;" coordsize="1613,34999">
                <v:rect id="Rectangle 8209"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8210"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58 de 180 </w:t>
                        </w:r>
                      </w:p>
                    </w:txbxContent>
                  </v:textbox>
                </v:rect>
                <w10:wrap type="topAndBottom"/>
              </v:group>
            </w:pict>
          </mc:Fallback>
        </mc:AlternateContent>
      </w:r>
      <w:r>
        <w:rPr>
          <w:rFonts w:ascii="Times New Roman" w:eastAsia="Times New Roman" w:hAnsi="Times New Roman" w:cs="Times New Roman"/>
          <w:sz w:val="24"/>
        </w:rPr>
        <w:t xml:space="preserve"> </w:t>
      </w:r>
    </w:p>
    <w:p w:rsidR="00FA7413" w:rsidRDefault="00D712A8">
      <w:pPr>
        <w:spacing w:after="0"/>
        <w:ind w:right="13"/>
        <w:jc w:val="right"/>
      </w:pPr>
      <w:r>
        <w:rPr>
          <w:rFonts w:ascii="Times New Roman" w:eastAsia="Times New Roman" w:hAnsi="Times New Roman" w:cs="Times New Roman"/>
          <w:sz w:val="24"/>
        </w:rPr>
        <w:t xml:space="preserve">  </w:t>
      </w:r>
      <w:r>
        <w:rPr>
          <w:noProof/>
        </w:rPr>
        <mc:AlternateContent>
          <mc:Choice Requires="wpg">
            <w:drawing>
              <wp:inline distT="0" distB="0" distL="0" distR="0">
                <wp:extent cx="5161841" cy="2191501"/>
                <wp:effectExtent l="0" t="0" r="0" b="0"/>
                <wp:docPr id="209246" name="Group 209246"/>
                <wp:cNvGraphicFramePr/>
                <a:graphic xmlns:a="http://schemas.openxmlformats.org/drawingml/2006/main">
                  <a:graphicData uri="http://schemas.microsoft.com/office/word/2010/wordprocessingGroup">
                    <wpg:wgp>
                      <wpg:cNvGrpSpPr/>
                      <wpg:grpSpPr>
                        <a:xfrm>
                          <a:off x="0" y="0"/>
                          <a:ext cx="5161841" cy="2191501"/>
                          <a:chOff x="0" y="0"/>
                          <a:chExt cx="5161841" cy="2191501"/>
                        </a:xfrm>
                      </wpg:grpSpPr>
                      <pic:pic xmlns:pic="http://schemas.openxmlformats.org/drawingml/2006/picture">
                        <pic:nvPicPr>
                          <pic:cNvPr id="8204" name="Picture 8204"/>
                          <pic:cNvPicPr/>
                        </pic:nvPicPr>
                        <pic:blipFill>
                          <a:blip r:embed="rId11"/>
                          <a:stretch>
                            <a:fillRect/>
                          </a:stretch>
                        </pic:blipFill>
                        <pic:spPr>
                          <a:xfrm>
                            <a:off x="0" y="19801"/>
                            <a:ext cx="2528316" cy="2171700"/>
                          </a:xfrm>
                          <a:prstGeom prst="rect">
                            <a:avLst/>
                          </a:prstGeom>
                        </pic:spPr>
                      </pic:pic>
                      <pic:pic xmlns:pic="http://schemas.openxmlformats.org/drawingml/2006/picture">
                        <pic:nvPicPr>
                          <pic:cNvPr id="237657" name="Picture 237657"/>
                          <pic:cNvPicPr/>
                        </pic:nvPicPr>
                        <pic:blipFill>
                          <a:blip r:embed="rId12"/>
                          <a:stretch>
                            <a:fillRect/>
                          </a:stretch>
                        </pic:blipFill>
                        <pic:spPr>
                          <a:xfrm>
                            <a:off x="2530729" y="-3058"/>
                            <a:ext cx="2630424" cy="2188464"/>
                          </a:xfrm>
                          <a:prstGeom prst="rect">
                            <a:avLst/>
                          </a:prstGeom>
                        </pic:spPr>
                      </pic:pic>
                    </wpg:wgp>
                  </a:graphicData>
                </a:graphic>
              </wp:inline>
            </w:drawing>
          </mc:Choice>
          <mc:Fallback xmlns:a="http://schemas.openxmlformats.org/drawingml/2006/main">
            <w:pict>
              <v:group id="Group 209246" style="width:406.444pt;height:172.559pt;mso-position-horizontal-relative:char;mso-position-vertical-relative:line" coordsize="51618,21915">
                <v:shape id="Picture 8204" style="position:absolute;width:25283;height:21717;left:0;top:198;" filled="f">
                  <v:imagedata r:id="rId13"/>
                </v:shape>
                <v:shape id="Picture 237657" style="position:absolute;width:26304;height:21884;left:25307;top:-30;" filled="f">
                  <v:imagedata r:id="rId14"/>
                </v:shape>
              </v:group>
            </w:pict>
          </mc:Fallback>
        </mc:AlternateContent>
      </w:r>
      <w:r>
        <w:rPr>
          <w:rFonts w:ascii="Times New Roman" w:eastAsia="Times New Roman" w:hAnsi="Times New Roman" w:cs="Times New Roman"/>
          <w:sz w:val="24"/>
        </w:rPr>
        <w:t xml:space="preserve"> </w: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spacing w:after="0" w:line="248" w:lineRule="auto"/>
        <w:ind w:left="355" w:right="64" w:hanging="10"/>
        <w:jc w:val="both"/>
      </w:pPr>
      <w:r>
        <w:rPr>
          <w:rFonts w:ascii="Arial" w:eastAsia="Arial" w:hAnsi="Arial" w:cs="Arial"/>
        </w:rPr>
        <w:t>Al quedar anulada la actuación urbanística aislada,</w:t>
      </w:r>
      <w:r>
        <w:rPr>
          <w:rFonts w:ascii="Arial" w:eastAsia="Arial" w:hAnsi="Arial" w:cs="Arial"/>
        </w:rPr>
        <w:t xml:space="preserve"> el suelo quedaría clasificado, caterigozado y calificado de la siguiente manera: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Suelo Urbano Consolidado, Edificación cerrada con jardín delantero 3 plantas. Uso residencial plurifamiliar</w:t>
      </w:r>
      <w:r>
        <w:rPr>
          <w:rFonts w:ascii="Times New Roman" w:eastAsia="Times New Roman" w:hAnsi="Times New Roman" w:cs="Times New Roman"/>
          <w:sz w:val="24"/>
        </w:rPr>
        <w:t xml:space="preserve"> </w: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spacing w:after="0"/>
        <w:ind w:left="2376"/>
        <w:jc w:val="both"/>
      </w:pPr>
      <w:r>
        <w:rPr>
          <w:noProof/>
        </w:rPr>
        <mc:AlternateContent>
          <mc:Choice Requires="wpg">
            <w:drawing>
              <wp:anchor distT="0" distB="0" distL="114300" distR="114300" simplePos="0" relativeHeight="251719680" behindDoc="0" locked="0" layoutInCell="1" allowOverlap="1">
                <wp:simplePos x="0" y="0"/>
                <wp:positionH relativeFrom="page">
                  <wp:posOffset>8664935</wp:posOffset>
                </wp:positionH>
                <wp:positionV relativeFrom="page">
                  <wp:posOffset>6811442</wp:posOffset>
                </wp:positionV>
                <wp:extent cx="161330" cy="3499942"/>
                <wp:effectExtent l="0" t="0" r="0" b="0"/>
                <wp:wrapTopAndBottom/>
                <wp:docPr id="209684" name="Group 209684"/>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8236" name="Rectangle 8236"/>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Cód. Validación: 946JAL4TJAGYNDDM76ZM7ZAYZ | Verificación</w:t>
                              </w:r>
                              <w:r>
                                <w:rPr>
                                  <w:rFonts w:ascii="Arial" w:eastAsia="Arial" w:hAnsi="Arial" w:cs="Arial"/>
                                  <w:sz w:val="12"/>
                                </w:rPr>
                                <w:t xml:space="preserve">: https://candelaria.sedelectronica.es/ </w:t>
                              </w:r>
                            </w:p>
                          </w:txbxContent>
                        </wps:txbx>
                        <wps:bodyPr horzOverflow="overflow" vert="horz" lIns="0" tIns="0" rIns="0" bIns="0" rtlCol="0">
                          <a:noAutofit/>
                        </wps:bodyPr>
                      </wps:wsp>
                      <wps:wsp>
                        <wps:cNvPr id="8237" name="Rectangle 8237"/>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59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9684" style="width:12.7031pt;height:275.586pt;position:absolute;mso-position-horizontal-relative:page;mso-position-horizontal:absolute;margin-left:682.278pt;mso-position-vertical-relative:page;margin-top:536.334pt;" coordsize="1613,34999">
                <v:rect id="Rectangle 8236"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8237"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59 de 180 </w:t>
                        </w:r>
                      </w:p>
                    </w:txbxContent>
                  </v:textbox>
                </v:rect>
                <w10:wrap type="topAndBottom"/>
              </v:group>
            </w:pict>
          </mc:Fallback>
        </mc:AlternateContent>
      </w:r>
      <w:r>
        <w:rPr>
          <w:noProof/>
        </w:rPr>
        <w:drawing>
          <wp:inline distT="0" distB="0" distL="0" distR="0">
            <wp:extent cx="3496872" cy="3017394"/>
            <wp:effectExtent l="0" t="0" r="0" b="0"/>
            <wp:docPr id="8233" name="Picture 8233"/>
            <wp:cNvGraphicFramePr/>
            <a:graphic xmlns:a="http://schemas.openxmlformats.org/drawingml/2006/main">
              <a:graphicData uri="http://schemas.openxmlformats.org/drawingml/2006/picture">
                <pic:pic xmlns:pic="http://schemas.openxmlformats.org/drawingml/2006/picture">
                  <pic:nvPicPr>
                    <pic:cNvPr id="8233" name="Picture 8233"/>
                    <pic:cNvPicPr/>
                  </pic:nvPicPr>
                  <pic:blipFill>
                    <a:blip r:embed="rId15"/>
                    <a:stretch>
                      <a:fillRect/>
                    </a:stretch>
                  </pic:blipFill>
                  <pic:spPr>
                    <a:xfrm>
                      <a:off x="0" y="0"/>
                      <a:ext cx="3496872" cy="3017394"/>
                    </a:xfrm>
                    <a:prstGeom prst="rect">
                      <a:avLst/>
                    </a:prstGeom>
                  </pic:spPr>
                </pic:pic>
              </a:graphicData>
            </a:graphic>
          </wp:inline>
        </w:drawing>
      </w:r>
      <w:r>
        <w:rPr>
          <w:rFonts w:ascii="Times New Roman" w:eastAsia="Times New Roman" w:hAnsi="Times New Roman" w:cs="Times New Roman"/>
          <w:sz w:val="24"/>
        </w:rPr>
        <w:t xml:space="preserve"> </w:t>
      </w:r>
      <w:r>
        <w:br w:type="page"/>
      </w:r>
    </w:p>
    <w:p w:rsidR="00FA7413" w:rsidRDefault="00D712A8">
      <w:pPr>
        <w:spacing w:after="0"/>
        <w:ind w:left="360"/>
        <w:jc w:val="both"/>
      </w:pPr>
      <w:r>
        <w:rPr>
          <w:noProof/>
        </w:rPr>
        <mc:AlternateContent>
          <mc:Choice Requires="wpg">
            <w:drawing>
              <wp:anchor distT="0" distB="0" distL="114300" distR="114300" simplePos="0" relativeHeight="251720704" behindDoc="0" locked="0" layoutInCell="1" allowOverlap="1">
                <wp:simplePos x="0" y="0"/>
                <wp:positionH relativeFrom="page">
                  <wp:posOffset>8664935</wp:posOffset>
                </wp:positionH>
                <wp:positionV relativeFrom="page">
                  <wp:posOffset>6811442</wp:posOffset>
                </wp:positionV>
                <wp:extent cx="161330" cy="3499942"/>
                <wp:effectExtent l="0" t="0" r="0" b="0"/>
                <wp:wrapTopAndBottom/>
                <wp:docPr id="210052" name="Group 210052"/>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8261" name="Rectangle 8261"/>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8262" name="Rectangle 8262"/>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60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0052" style="width:12.7031pt;height:275.586pt;position:absolute;mso-position-horizontal-relative:page;mso-position-horizontal:absolute;margin-left:682.278pt;mso-position-vertical-relative:page;margin-top:536.334pt;" coordsize="1613,34999">
                <v:rect id="Rectangle 8261"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8262"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60 de 180 </w:t>
                        </w:r>
                      </w:p>
                    </w:txbxContent>
                  </v:textbox>
                </v:rect>
                <w10:wrap type="topAndBottom"/>
              </v:group>
            </w:pict>
          </mc:Fallback>
        </mc:AlternateContent>
      </w:r>
      <w:r>
        <w:rPr>
          <w:noProof/>
        </w:rPr>
        <w:drawing>
          <wp:inline distT="0" distB="0" distL="0" distR="0">
            <wp:extent cx="5985168" cy="7940002"/>
            <wp:effectExtent l="0" t="0" r="0" b="0"/>
            <wp:docPr id="8258" name="Picture 8258"/>
            <wp:cNvGraphicFramePr/>
            <a:graphic xmlns:a="http://schemas.openxmlformats.org/drawingml/2006/main">
              <a:graphicData uri="http://schemas.openxmlformats.org/drawingml/2006/picture">
                <pic:pic xmlns:pic="http://schemas.openxmlformats.org/drawingml/2006/picture">
                  <pic:nvPicPr>
                    <pic:cNvPr id="8258" name="Picture 8258"/>
                    <pic:cNvPicPr/>
                  </pic:nvPicPr>
                  <pic:blipFill>
                    <a:blip r:embed="rId16"/>
                    <a:stretch>
                      <a:fillRect/>
                    </a:stretch>
                  </pic:blipFill>
                  <pic:spPr>
                    <a:xfrm>
                      <a:off x="0" y="0"/>
                      <a:ext cx="5985168" cy="7940002"/>
                    </a:xfrm>
                    <a:prstGeom prst="rect">
                      <a:avLst/>
                    </a:prstGeom>
                  </pic:spPr>
                </pic:pic>
              </a:graphicData>
            </a:graphic>
          </wp:inline>
        </w:drawing>
      </w:r>
      <w:r>
        <w:rPr>
          <w:rFonts w:ascii="Times New Roman" w:eastAsia="Times New Roman" w:hAnsi="Times New Roman" w:cs="Times New Roman"/>
          <w:sz w:val="24"/>
        </w:rPr>
        <w:t xml:space="preserve"> </w:t>
      </w:r>
    </w:p>
    <w:p w:rsidR="00FA7413" w:rsidRDefault="00D712A8">
      <w:pPr>
        <w:spacing w:after="112" w:line="248" w:lineRule="auto"/>
        <w:ind w:left="345" w:right="62" w:firstLine="708"/>
        <w:jc w:val="both"/>
      </w:pPr>
      <w:r>
        <w:rPr>
          <w:rFonts w:ascii="Arial" w:eastAsia="Arial" w:hAnsi="Arial" w:cs="Arial"/>
          <w:b/>
        </w:rPr>
        <w:t>Quinto.-</w:t>
      </w:r>
      <w:r>
        <w:rPr>
          <w:rFonts w:ascii="Arial" w:eastAsia="Arial" w:hAnsi="Arial" w:cs="Arial"/>
          <w:b/>
          <w:i/>
        </w:rPr>
        <w:t xml:space="preserve">  </w:t>
      </w:r>
      <w:r>
        <w:rPr>
          <w:rFonts w:ascii="Arial" w:eastAsia="Arial" w:hAnsi="Arial" w:cs="Arial"/>
          <w:b/>
        </w:rPr>
        <w:t>Consta en el expediente oficio del Gobierno de Canarias al Ayuntamiento de Candelaria por registro de entrada de 7 de junio de 2021 que transcrito literalmente dice:</w:t>
      </w:r>
      <w:r>
        <w:rPr>
          <w:rFonts w:ascii="Arial" w:eastAsia="Arial" w:hAnsi="Arial" w:cs="Arial"/>
        </w:rPr>
        <w:t xml:space="preserve"> </w:t>
      </w:r>
    </w:p>
    <w:p w:rsidR="00FA7413" w:rsidRDefault="00D712A8">
      <w:pPr>
        <w:spacing w:after="112" w:line="247" w:lineRule="auto"/>
        <w:ind w:left="345" w:right="62" w:firstLine="708"/>
        <w:jc w:val="both"/>
      </w:pPr>
      <w:r>
        <w:rPr>
          <w:rFonts w:ascii="Arial" w:eastAsia="Arial" w:hAnsi="Arial" w:cs="Arial"/>
          <w:i/>
        </w:rPr>
        <w:t>“(…) En los casos de las sentencias de los expedientes número 2328/2020 y 2329/2020 – que</w:t>
      </w:r>
      <w:r>
        <w:rPr>
          <w:rFonts w:ascii="Arial" w:eastAsia="Arial" w:hAnsi="Arial" w:cs="Arial"/>
          <w:i/>
        </w:rPr>
        <w:t xml:space="preserve"> se refieren a procedimientos en los que los recursos interpuestos fueron estimados por considerarse que el acto impugnado era contrario a derecho y se anulan dos determinaciones urbanísticas –al contener una resolución meramente anulatoria de las determin</w:t>
      </w:r>
      <w:r>
        <w:rPr>
          <w:rFonts w:ascii="Arial" w:eastAsia="Arial" w:hAnsi="Arial" w:cs="Arial"/>
          <w:i/>
        </w:rPr>
        <w:t>aciones del plan, pero sin reconocimiento de una situación jurídica individualizada por la parte demandante, su ejecución se agota con la publicación en el diario oficial del fallo anulatorio por parte del órgano que lo aprobó, de conformidad con el artícu</w:t>
      </w:r>
      <w:r>
        <w:rPr>
          <w:rFonts w:ascii="Arial" w:eastAsia="Arial" w:hAnsi="Arial" w:cs="Arial"/>
          <w:i/>
        </w:rPr>
        <w:t>lo 107.2, de relación con el 72.2 de la ley 29/1998, de 13 de julio, Reguladora de la Jurisdicción Contenciosa-administrativa; así como con el estampillado de una diligencia para hacer constar el fallo anulatorio en el ejemplar del plan general de ordenaci</w:t>
      </w:r>
      <w:r>
        <w:rPr>
          <w:rFonts w:ascii="Arial" w:eastAsia="Arial" w:hAnsi="Arial" w:cs="Arial"/>
          <w:i/>
        </w:rPr>
        <w:t xml:space="preserve">ón que consta en las dependencias autonómicas. </w:t>
      </w:r>
    </w:p>
    <w:p w:rsidR="00FA7413" w:rsidRDefault="00D712A8">
      <w:pPr>
        <w:spacing w:after="112" w:line="247" w:lineRule="auto"/>
        <w:ind w:left="345" w:right="62" w:firstLine="708"/>
        <w:jc w:val="both"/>
      </w:pPr>
      <w:r>
        <w:rPr>
          <w:rFonts w:ascii="Arial" w:eastAsia="Arial" w:hAnsi="Arial" w:cs="Arial"/>
          <w:i/>
        </w:rPr>
        <w:t xml:space="preserve">Cuando en los acuerdos de la COTMAC de toma de conocimiento de las sentencias firmes recaídas en estos dos últimos RCA se insta al Ayuntamiento de Candelaria a que lleve a puro y debido efecto la sentencia y </w:t>
      </w:r>
      <w:r>
        <w:rPr>
          <w:rFonts w:ascii="Arial" w:eastAsia="Arial" w:hAnsi="Arial" w:cs="Arial"/>
          <w:i/>
        </w:rPr>
        <w:t>practique lo que exija el cumplimiento de las declaraciones contenidas en el fallo, tal exigencia se agota, también, con el estampillado de una diligencia para hacer constar el fallo anulatorio en el ejemplar del plan general de ordenación que conste en la</w:t>
      </w:r>
      <w:r>
        <w:rPr>
          <w:rFonts w:ascii="Arial" w:eastAsia="Arial" w:hAnsi="Arial" w:cs="Arial"/>
          <w:i/>
        </w:rPr>
        <w:t xml:space="preserve">s dependencias municipales por parte de la Secretaría de la Corporación local o funcionario autorizado. </w:t>
      </w:r>
    </w:p>
    <w:p w:rsidR="00FA7413" w:rsidRDefault="00D712A8">
      <w:pPr>
        <w:spacing w:after="112" w:line="247" w:lineRule="auto"/>
        <w:ind w:left="345" w:right="62" w:firstLine="708"/>
        <w:jc w:val="both"/>
      </w:pPr>
      <w:r>
        <w:rPr>
          <w:rFonts w:ascii="Arial" w:eastAsia="Arial" w:hAnsi="Arial" w:cs="Arial"/>
          <w:i/>
        </w:rPr>
        <w:t>Los acuerdos de la COTMAC referidos a tales sentencias fueron publicados en el Boletín Oficial de Canarias en la forma indicada anteriormente, habiéndo</w:t>
      </w:r>
      <w:r>
        <w:rPr>
          <w:rFonts w:ascii="Arial" w:eastAsia="Arial" w:hAnsi="Arial" w:cs="Arial"/>
          <w:i/>
        </w:rPr>
        <w:t xml:space="preserve">se procedido al estampillado de la diligencia anulatoria en el ejemplar del plan general que consta en estas dependencias. (…) ” </w:t>
      </w:r>
    </w:p>
    <w:p w:rsidR="00FA7413" w:rsidRDefault="00D712A8">
      <w:pPr>
        <w:spacing w:after="98"/>
        <w:ind w:left="360"/>
      </w:pPr>
      <w:r>
        <w:rPr>
          <w:noProof/>
        </w:rPr>
        <mc:AlternateContent>
          <mc:Choice Requires="wpg">
            <w:drawing>
              <wp:anchor distT="0" distB="0" distL="114300" distR="114300" simplePos="0" relativeHeight="251721728"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0211" name="Group 210211"/>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8363" name="Rectangle 8363"/>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8364" name="Rectangle 8364"/>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Documento firmado elect</w:t>
                              </w:r>
                              <w:r>
                                <w:rPr>
                                  <w:rFonts w:ascii="Arial" w:eastAsia="Arial" w:hAnsi="Arial" w:cs="Arial"/>
                                  <w:sz w:val="12"/>
                                </w:rPr>
                                <w:t xml:space="preserve">rónicamente desde la plataforma esPublico Gestiona | Página 61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0211" style="width:12.7031pt;height:275.586pt;position:absolute;mso-position-horizontal-relative:page;mso-position-horizontal:absolute;margin-left:682.278pt;mso-position-vertical-relative:page;margin-top:536.334pt;" coordsize="1613,34999">
                <v:rect id="Rectangle 8363"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8364"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61 de 180 </w:t>
                        </w:r>
                      </w:p>
                    </w:txbxContent>
                  </v:textbox>
                </v:rect>
                <w10:wrap type="square"/>
              </v:group>
            </w:pict>
          </mc:Fallback>
        </mc:AlternateContent>
      </w:r>
      <w:r>
        <w:rPr>
          <w:rFonts w:ascii="Arial" w:eastAsia="Arial" w:hAnsi="Arial" w:cs="Arial"/>
          <w:b/>
        </w:rPr>
        <w:t xml:space="preserve"> </w:t>
      </w:r>
    </w:p>
    <w:p w:rsidR="00FA7413" w:rsidRDefault="00D712A8">
      <w:pPr>
        <w:spacing w:after="112" w:line="248" w:lineRule="auto"/>
        <w:ind w:left="2497" w:right="62" w:hanging="10"/>
        <w:jc w:val="both"/>
      </w:pPr>
      <w:r>
        <w:rPr>
          <w:rFonts w:ascii="Arial" w:eastAsia="Arial" w:hAnsi="Arial" w:cs="Arial"/>
          <w:b/>
        </w:rPr>
        <w:t xml:space="preserve">            Fundamentos de derecho   </w:t>
      </w:r>
    </w:p>
    <w:p w:rsidR="00FA7413" w:rsidRDefault="00D712A8">
      <w:pPr>
        <w:spacing w:after="112" w:line="247" w:lineRule="auto"/>
        <w:ind w:left="355" w:right="62" w:hanging="10"/>
        <w:jc w:val="both"/>
      </w:pPr>
      <w:r>
        <w:rPr>
          <w:rFonts w:ascii="Arial" w:eastAsia="Arial" w:hAnsi="Arial" w:cs="Arial"/>
        </w:rPr>
        <w:t xml:space="preserve"> </w:t>
      </w:r>
      <w:r>
        <w:rPr>
          <w:rFonts w:ascii="Arial" w:eastAsia="Arial" w:hAnsi="Arial" w:cs="Arial"/>
          <w:b/>
        </w:rPr>
        <w:t>Primero. -</w:t>
      </w:r>
      <w:r>
        <w:rPr>
          <w:rFonts w:ascii="Arial" w:eastAsia="Arial" w:hAnsi="Arial" w:cs="Arial"/>
        </w:rPr>
        <w:t xml:space="preserve"> Es de aplicación lo dispuesto en el artículo 118 de la constitución que establece: </w:t>
      </w:r>
      <w:r>
        <w:rPr>
          <w:rFonts w:ascii="Arial" w:eastAsia="Arial" w:hAnsi="Arial" w:cs="Arial"/>
          <w:i/>
        </w:rPr>
        <w:t>Es obligado cumplir las sentencias y demás resoluciones firmes de los Jueces y Tribunales, así como prestar la colaboración requerida por éstos en el curso del proceso y en la ejecución de lo resuelto</w:t>
      </w:r>
      <w:r>
        <w:rPr>
          <w:rFonts w:ascii="Arial" w:eastAsia="Arial" w:hAnsi="Arial" w:cs="Arial"/>
        </w:rPr>
        <w:t xml:space="preserve">. </w:t>
      </w:r>
    </w:p>
    <w:p w:rsidR="00FA7413" w:rsidRDefault="00D712A8">
      <w:pPr>
        <w:spacing w:after="109" w:line="248" w:lineRule="auto"/>
        <w:ind w:left="345" w:right="64" w:firstLine="708"/>
        <w:jc w:val="both"/>
      </w:pPr>
      <w:r>
        <w:rPr>
          <w:rFonts w:ascii="Arial" w:eastAsia="Arial" w:hAnsi="Arial" w:cs="Arial"/>
          <w:b/>
        </w:rPr>
        <w:t>Segundo. -</w:t>
      </w:r>
      <w:r>
        <w:rPr>
          <w:rFonts w:ascii="Arial" w:eastAsia="Arial" w:hAnsi="Arial" w:cs="Arial"/>
        </w:rPr>
        <w:t xml:space="preserve"> Es de aplicación lo dispuesto en el artícu</w:t>
      </w:r>
      <w:r>
        <w:rPr>
          <w:rFonts w:ascii="Arial" w:eastAsia="Arial" w:hAnsi="Arial" w:cs="Arial"/>
        </w:rPr>
        <w:t>lo 103.2 de la Ley 29/1998, de 13 de julio, de la Jurisdicción Contencioso-Administrativa que establece:</w:t>
      </w:r>
      <w:r>
        <w:rPr>
          <w:rFonts w:ascii="Arial" w:eastAsia="Arial" w:hAnsi="Arial" w:cs="Arial"/>
          <w:i/>
        </w:rPr>
        <w:t>2. Las partes están obligadas a cumplir las sentencias en la forma y términos que en éstas se consignen.</w:t>
      </w:r>
      <w:r>
        <w:rPr>
          <w:rFonts w:ascii="Arial" w:eastAsia="Arial" w:hAnsi="Arial" w:cs="Arial"/>
        </w:rPr>
        <w:t xml:space="preserve"> </w:t>
      </w:r>
    </w:p>
    <w:p w:rsidR="00FA7413" w:rsidRDefault="00D712A8">
      <w:pPr>
        <w:spacing w:after="100"/>
        <w:ind w:left="2487"/>
      </w:pPr>
      <w:r>
        <w:rPr>
          <w:rFonts w:ascii="Arial" w:eastAsia="Arial" w:hAnsi="Arial" w:cs="Arial"/>
          <w:b/>
        </w:rPr>
        <w:t xml:space="preserve"> </w:t>
      </w:r>
    </w:p>
    <w:p w:rsidR="00FA7413" w:rsidRDefault="00D712A8">
      <w:pPr>
        <w:spacing w:after="98"/>
        <w:ind w:left="2487"/>
      </w:pPr>
      <w:r>
        <w:rPr>
          <w:rFonts w:ascii="Arial" w:eastAsia="Arial" w:hAnsi="Arial" w:cs="Arial"/>
          <w:b/>
        </w:rPr>
        <w:t xml:space="preserve"> </w:t>
      </w:r>
    </w:p>
    <w:p w:rsidR="00FA7413" w:rsidRDefault="00D712A8">
      <w:pPr>
        <w:spacing w:after="100"/>
        <w:ind w:left="2487"/>
      </w:pPr>
      <w:r>
        <w:rPr>
          <w:rFonts w:ascii="Arial" w:eastAsia="Arial" w:hAnsi="Arial" w:cs="Arial"/>
          <w:b/>
        </w:rPr>
        <w:t xml:space="preserve"> </w:t>
      </w:r>
    </w:p>
    <w:p w:rsidR="00FA7413" w:rsidRDefault="00D712A8">
      <w:pPr>
        <w:spacing w:after="98"/>
        <w:ind w:left="2487"/>
      </w:pPr>
      <w:r>
        <w:rPr>
          <w:rFonts w:ascii="Arial" w:eastAsia="Arial" w:hAnsi="Arial" w:cs="Arial"/>
          <w:b/>
        </w:rPr>
        <w:t xml:space="preserve"> </w:t>
      </w:r>
    </w:p>
    <w:p w:rsidR="00FA7413" w:rsidRDefault="00D712A8">
      <w:pPr>
        <w:spacing w:after="100"/>
        <w:ind w:left="2487"/>
      </w:pPr>
      <w:r>
        <w:rPr>
          <w:rFonts w:ascii="Arial" w:eastAsia="Arial" w:hAnsi="Arial" w:cs="Arial"/>
          <w:b/>
        </w:rPr>
        <w:t xml:space="preserve"> </w:t>
      </w:r>
    </w:p>
    <w:p w:rsidR="00FA7413" w:rsidRDefault="00D712A8">
      <w:pPr>
        <w:spacing w:after="98"/>
        <w:ind w:left="2487"/>
      </w:pPr>
      <w:r>
        <w:rPr>
          <w:rFonts w:ascii="Arial" w:eastAsia="Arial" w:hAnsi="Arial" w:cs="Arial"/>
          <w:b/>
        </w:rPr>
        <w:t xml:space="preserve"> </w:t>
      </w:r>
    </w:p>
    <w:p w:rsidR="00FA7413" w:rsidRDefault="00D712A8">
      <w:pPr>
        <w:spacing w:after="98"/>
        <w:ind w:left="2487"/>
      </w:pPr>
      <w:r>
        <w:rPr>
          <w:rFonts w:ascii="Arial" w:eastAsia="Arial" w:hAnsi="Arial" w:cs="Arial"/>
          <w:b/>
        </w:rPr>
        <w:t xml:space="preserve"> </w:t>
      </w:r>
    </w:p>
    <w:p w:rsidR="00FA7413" w:rsidRDefault="00D712A8">
      <w:pPr>
        <w:spacing w:after="101"/>
        <w:ind w:left="2487"/>
      </w:pPr>
      <w:r>
        <w:rPr>
          <w:rFonts w:ascii="Arial" w:eastAsia="Arial" w:hAnsi="Arial" w:cs="Arial"/>
          <w:b/>
        </w:rPr>
        <w:t xml:space="preserve"> </w:t>
      </w:r>
    </w:p>
    <w:p w:rsidR="00FA7413" w:rsidRDefault="00D712A8">
      <w:pPr>
        <w:spacing w:after="98"/>
        <w:ind w:left="2487"/>
      </w:pPr>
      <w:r>
        <w:rPr>
          <w:rFonts w:ascii="Arial" w:eastAsia="Arial" w:hAnsi="Arial" w:cs="Arial"/>
          <w:b/>
        </w:rPr>
        <w:t xml:space="preserve"> </w:t>
      </w:r>
    </w:p>
    <w:p w:rsidR="00FA7413" w:rsidRDefault="00D712A8">
      <w:pPr>
        <w:spacing w:after="0"/>
        <w:ind w:left="2487"/>
      </w:pPr>
      <w:r>
        <w:rPr>
          <w:rFonts w:ascii="Arial" w:eastAsia="Arial" w:hAnsi="Arial" w:cs="Arial"/>
          <w:b/>
        </w:rPr>
        <w:t xml:space="preserve"> </w:t>
      </w:r>
    </w:p>
    <w:p w:rsidR="00FA7413" w:rsidRDefault="00D712A8">
      <w:pPr>
        <w:spacing w:after="100"/>
        <w:ind w:left="2487"/>
      </w:pPr>
      <w:r>
        <w:rPr>
          <w:rFonts w:ascii="Arial" w:eastAsia="Arial" w:hAnsi="Arial" w:cs="Arial"/>
          <w:b/>
        </w:rPr>
        <w:t xml:space="preserve"> </w:t>
      </w:r>
    </w:p>
    <w:p w:rsidR="00FA7413" w:rsidRDefault="00D712A8">
      <w:pPr>
        <w:spacing w:after="112" w:line="248" w:lineRule="auto"/>
        <w:ind w:left="2497" w:right="62" w:hanging="10"/>
        <w:jc w:val="both"/>
      </w:pPr>
      <w:r>
        <w:rPr>
          <w:rFonts w:ascii="Arial" w:eastAsia="Arial" w:hAnsi="Arial" w:cs="Arial"/>
          <w:b/>
        </w:rPr>
        <w:t xml:space="preserve">              Propuesta </w:t>
      </w:r>
      <w:r>
        <w:rPr>
          <w:rFonts w:ascii="Arial" w:eastAsia="Arial" w:hAnsi="Arial" w:cs="Arial"/>
          <w:b/>
        </w:rPr>
        <w:t xml:space="preserve">de Resolución: </w:t>
      </w:r>
    </w:p>
    <w:p w:rsidR="00FA7413" w:rsidRDefault="00D712A8">
      <w:pPr>
        <w:spacing w:after="112" w:line="248" w:lineRule="auto"/>
        <w:ind w:left="1078" w:right="62" w:hanging="10"/>
        <w:jc w:val="both"/>
      </w:pPr>
      <w:r>
        <w:rPr>
          <w:rFonts w:ascii="Arial" w:eastAsia="Arial" w:hAnsi="Arial" w:cs="Arial"/>
          <w:b/>
        </w:rPr>
        <w:t xml:space="preserve">Por lo expuesto se eleva la siguiente propuesta al Pleno de la Corporación: </w:t>
      </w:r>
    </w:p>
    <w:p w:rsidR="00FA7413" w:rsidRDefault="00D712A8">
      <w:pPr>
        <w:spacing w:after="112" w:line="248" w:lineRule="auto"/>
        <w:ind w:left="345" w:right="62" w:firstLine="708"/>
        <w:jc w:val="both"/>
      </w:pPr>
      <w:r>
        <w:rPr>
          <w:rFonts w:ascii="Arial" w:eastAsia="Arial" w:hAnsi="Arial" w:cs="Arial"/>
          <w:b/>
        </w:rPr>
        <w:t>Primero. - Tomar conocimiento de la Sentencia de 14 de marzo de 2011. Procedimiento ordinario 116/2007. Sala de lo Contencioso-</w:t>
      </w:r>
      <w:r>
        <w:rPr>
          <w:rFonts w:ascii="Arial" w:eastAsia="Arial" w:hAnsi="Arial" w:cs="Arial"/>
          <w:b/>
        </w:rPr>
        <w:t>Administrativo del Tribunal Superior de Justicia de Canarias. Sección Segunda. Santa Cruz de Tenerife, que estima el recurso interpuesto por Dña Natividad Martín Pérez y Dña. Asunción Martín Pérez contra el acuerdo de la Comisión de Ordenación del Territor</w:t>
      </w:r>
      <w:r>
        <w:rPr>
          <w:rFonts w:ascii="Arial" w:eastAsia="Arial" w:hAnsi="Arial" w:cs="Arial"/>
          <w:b/>
        </w:rPr>
        <w:t>io y Medio Ambiente de Canarias (COTMAC) del Gobierno de Canarias de 20 de julio de 2006 y de corrección de errores de 10 de noviembre de 2006 por el que se aprobó definitivamente el Plan General de Ordenación Urbana del municipio de Candelaria (BOC de 8 d</w:t>
      </w:r>
      <w:r>
        <w:rPr>
          <w:rFonts w:ascii="Arial" w:eastAsia="Arial" w:hAnsi="Arial" w:cs="Arial"/>
          <w:b/>
        </w:rPr>
        <w:t xml:space="preserve">e mayo y 10 de mayo de 2007). </w:t>
      </w:r>
    </w:p>
    <w:p w:rsidR="00FA7413" w:rsidRDefault="00D712A8">
      <w:pPr>
        <w:spacing w:after="112" w:line="248" w:lineRule="auto"/>
        <w:ind w:left="345" w:right="62" w:firstLine="708"/>
        <w:jc w:val="both"/>
      </w:pPr>
      <w:r>
        <w:rPr>
          <w:noProof/>
        </w:rPr>
        <mc:AlternateContent>
          <mc:Choice Requires="wpg">
            <w:drawing>
              <wp:anchor distT="0" distB="0" distL="114300" distR="114300" simplePos="0" relativeHeight="251722752" behindDoc="0" locked="0" layoutInCell="1" allowOverlap="1">
                <wp:simplePos x="0" y="0"/>
                <wp:positionH relativeFrom="page">
                  <wp:posOffset>8664935</wp:posOffset>
                </wp:positionH>
                <wp:positionV relativeFrom="page">
                  <wp:posOffset>6811442</wp:posOffset>
                </wp:positionV>
                <wp:extent cx="161330" cy="3499942"/>
                <wp:effectExtent l="0" t="0" r="0" b="0"/>
                <wp:wrapTopAndBottom/>
                <wp:docPr id="210092" name="Group 210092"/>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8450" name="Rectangle 8450"/>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8451" name="Rectangle 8451"/>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62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0092" style="width:12.7031pt;height:275.586pt;position:absolute;mso-position-horizontal-relative:page;mso-position-horizontal:absolute;margin-left:682.278pt;mso-position-vertical-relative:page;margin-top:536.334pt;" coordsize="1613,34999">
                <v:rect id="Rectangle 8450"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8451"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62 de 180 </w:t>
                        </w:r>
                      </w:p>
                    </w:txbxContent>
                  </v:textbox>
                </v:rect>
                <w10:wrap type="topAndBottom"/>
              </v:group>
            </w:pict>
          </mc:Fallback>
        </mc:AlternateContent>
      </w:r>
      <w:r>
        <w:rPr>
          <w:rFonts w:ascii="Arial" w:eastAsia="Arial" w:hAnsi="Arial" w:cs="Arial"/>
          <w:b/>
        </w:rPr>
        <w:t xml:space="preserve">Segundo. - </w:t>
      </w:r>
      <w:r>
        <w:rPr>
          <w:rFonts w:ascii="Arial" w:eastAsia="Arial" w:hAnsi="Arial" w:cs="Arial"/>
          <w:b/>
        </w:rPr>
        <w:t>Dar traslado del presente acuerdo a la Secretaría General y a la Oficina Técnica del Ayuntamiento de Candelaria a los efectos de que se identifique la documentación afectada por el fallo de la sentencia, a fin de estampillar la correspondiente diligencia d</w:t>
      </w:r>
      <w:r>
        <w:rPr>
          <w:rFonts w:ascii="Arial" w:eastAsia="Arial" w:hAnsi="Arial" w:cs="Arial"/>
          <w:b/>
        </w:rPr>
        <w:t xml:space="preserve">e nulidad tanto en formato papel como el formado electrónico, de conformidad con lo dispuesto en el artículo 104 de la Ley de la Jurisdicción Contencioso-Administrativa. </w:t>
      </w:r>
    </w:p>
    <w:p w:rsidR="00FA7413" w:rsidRDefault="00D712A8">
      <w:pPr>
        <w:spacing w:after="112" w:line="248" w:lineRule="auto"/>
        <w:ind w:left="345" w:right="62" w:firstLine="708"/>
        <w:jc w:val="both"/>
      </w:pPr>
      <w:r>
        <w:rPr>
          <w:rFonts w:ascii="Arial" w:eastAsia="Arial" w:hAnsi="Arial" w:cs="Arial"/>
          <w:b/>
        </w:rPr>
        <w:t>Tercero. - Adicionar un Anexo en la documentación del PGO de Candelaria vigente aprob</w:t>
      </w:r>
      <w:r>
        <w:rPr>
          <w:rFonts w:ascii="Arial" w:eastAsia="Arial" w:hAnsi="Arial" w:cs="Arial"/>
          <w:b/>
        </w:rPr>
        <w:t>ado por la COTMAC ((BOC de 8 de mayo y 10 de mayo de 2007) en el que se incluirá el presente acuerdo una vez publicado a los efectos de dar por cumplida la sentencia firme antedicha y según el informe técnico de la Arquitecta Municipal de fecha 14 de septi</w:t>
      </w:r>
      <w:r>
        <w:rPr>
          <w:rFonts w:ascii="Arial" w:eastAsia="Arial" w:hAnsi="Arial" w:cs="Arial"/>
          <w:b/>
        </w:rPr>
        <w:t xml:space="preserve">embre de 2020. </w:t>
      </w:r>
    </w:p>
    <w:p w:rsidR="00FA7413" w:rsidRDefault="00D712A8">
      <w:pPr>
        <w:spacing w:after="112" w:line="248" w:lineRule="auto"/>
        <w:ind w:left="345" w:right="62" w:firstLine="708"/>
        <w:jc w:val="both"/>
      </w:pPr>
      <w:r>
        <w:rPr>
          <w:rFonts w:ascii="Arial" w:eastAsia="Arial" w:hAnsi="Arial" w:cs="Arial"/>
          <w:b/>
        </w:rPr>
        <w:t xml:space="preserve">Cuarto. - El presente acuerdo será publicado en el Boletín Oficial de Canarias y en el Boletín Oficial de la Provincia. </w:t>
      </w:r>
    </w:p>
    <w:p w:rsidR="00FA7413" w:rsidRDefault="00D712A8">
      <w:pPr>
        <w:spacing w:after="98"/>
        <w:ind w:left="1068"/>
      </w:pPr>
      <w:r>
        <w:rPr>
          <w:rFonts w:ascii="Arial" w:eastAsia="Arial" w:hAnsi="Arial" w:cs="Arial"/>
          <w:b/>
        </w:rPr>
        <w:t xml:space="preserve"> </w:t>
      </w:r>
    </w:p>
    <w:p w:rsidR="00FA7413" w:rsidRDefault="00D712A8">
      <w:pPr>
        <w:spacing w:after="112" w:line="248" w:lineRule="auto"/>
        <w:ind w:left="355" w:right="62" w:hanging="10"/>
        <w:jc w:val="both"/>
      </w:pPr>
      <w:r>
        <w:rPr>
          <w:rFonts w:ascii="Arial" w:eastAsia="Arial" w:hAnsi="Arial" w:cs="Arial"/>
          <w:b/>
        </w:rPr>
        <w:t>ANEXO: EJECUCIÓN DE SENTENCIA DE LA SALA DE LO CONTENCIOSO-ADMINISTRATIVO DEL TRIBUNAL SUPERIOR DE JUSTICIA DE CANARI</w:t>
      </w:r>
      <w:r>
        <w:rPr>
          <w:rFonts w:ascii="Arial" w:eastAsia="Arial" w:hAnsi="Arial" w:cs="Arial"/>
          <w:b/>
        </w:rPr>
        <w:t xml:space="preserve">AS, SECCIÓN SEGUNDA, DE 14 DE MARZO DE 2011. PROCEDIMIENTO ORDINARIO 116/2007.  </w:t>
      </w:r>
    </w:p>
    <w:p w:rsidR="00FA7413" w:rsidRDefault="00D712A8">
      <w:pPr>
        <w:spacing w:after="0"/>
        <w:ind w:left="2487"/>
      </w:pPr>
      <w:r>
        <w:rPr>
          <w:rFonts w:ascii="Arial" w:eastAsia="Arial" w:hAnsi="Arial" w:cs="Arial"/>
        </w:rPr>
        <w:t xml:space="preserve"> </w:t>
      </w:r>
    </w:p>
    <w:p w:rsidR="00FA7413" w:rsidRDefault="00D712A8">
      <w:pPr>
        <w:spacing w:after="0"/>
        <w:ind w:left="360"/>
        <w:jc w:val="both"/>
      </w:pPr>
      <w:r>
        <w:rPr>
          <w:noProof/>
        </w:rPr>
        <mc:AlternateContent>
          <mc:Choice Requires="wpg">
            <w:drawing>
              <wp:anchor distT="0" distB="0" distL="114300" distR="114300" simplePos="0" relativeHeight="251723776" behindDoc="0" locked="0" layoutInCell="1" allowOverlap="1">
                <wp:simplePos x="0" y="0"/>
                <wp:positionH relativeFrom="page">
                  <wp:posOffset>8664935</wp:posOffset>
                </wp:positionH>
                <wp:positionV relativeFrom="page">
                  <wp:posOffset>6811442</wp:posOffset>
                </wp:positionV>
                <wp:extent cx="161330" cy="3499942"/>
                <wp:effectExtent l="0" t="0" r="0" b="0"/>
                <wp:wrapTopAndBottom/>
                <wp:docPr id="210047" name="Group 210047"/>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8477" name="Rectangle 8477"/>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8478" name="Rectangle 8478"/>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Documento firmado electrónicamente desde la plataforma esPublico Gesti</w:t>
                              </w:r>
                              <w:r>
                                <w:rPr>
                                  <w:rFonts w:ascii="Arial" w:eastAsia="Arial" w:hAnsi="Arial" w:cs="Arial"/>
                                  <w:sz w:val="12"/>
                                </w:rPr>
                                <w:t xml:space="preserve">ona | Página 63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0047" style="width:12.7031pt;height:275.586pt;position:absolute;mso-position-horizontal-relative:page;mso-position-horizontal:absolute;margin-left:682.278pt;mso-position-vertical-relative:page;margin-top:536.334pt;" coordsize="1613,34999">
                <v:rect id="Rectangle 8477"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8478"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63 de 180 </w:t>
                        </w:r>
                      </w:p>
                    </w:txbxContent>
                  </v:textbox>
                </v:rect>
                <w10:wrap type="topAndBottom"/>
              </v:group>
            </w:pict>
          </mc:Fallback>
        </mc:AlternateContent>
      </w:r>
      <w:r>
        <w:rPr>
          <w:noProof/>
        </w:rPr>
        <w:drawing>
          <wp:inline distT="0" distB="0" distL="0" distR="0">
            <wp:extent cx="5985168" cy="7940002"/>
            <wp:effectExtent l="0" t="0" r="0" b="0"/>
            <wp:docPr id="8474" name="Picture 8474"/>
            <wp:cNvGraphicFramePr/>
            <a:graphic xmlns:a="http://schemas.openxmlformats.org/drawingml/2006/main">
              <a:graphicData uri="http://schemas.openxmlformats.org/drawingml/2006/picture">
                <pic:pic xmlns:pic="http://schemas.openxmlformats.org/drawingml/2006/picture">
                  <pic:nvPicPr>
                    <pic:cNvPr id="8474" name="Picture 8474"/>
                    <pic:cNvPicPr/>
                  </pic:nvPicPr>
                  <pic:blipFill>
                    <a:blip r:embed="rId16"/>
                    <a:stretch>
                      <a:fillRect/>
                    </a:stretch>
                  </pic:blipFill>
                  <pic:spPr>
                    <a:xfrm>
                      <a:off x="0" y="0"/>
                      <a:ext cx="5985168" cy="7940002"/>
                    </a:xfrm>
                    <a:prstGeom prst="rect">
                      <a:avLst/>
                    </a:prstGeom>
                  </pic:spPr>
                </pic:pic>
              </a:graphicData>
            </a:graphic>
          </wp:inline>
        </w:drawing>
      </w:r>
      <w:r>
        <w:rPr>
          <w:rFonts w:ascii="Arial" w:eastAsia="Arial" w:hAnsi="Arial" w:cs="Arial"/>
        </w:rPr>
        <w:t xml:space="preserve"> </w:t>
      </w:r>
    </w:p>
    <w:p w:rsidR="00FA7413" w:rsidRDefault="00D712A8">
      <w:pPr>
        <w:spacing w:after="11" w:line="248" w:lineRule="auto"/>
        <w:ind w:left="1078" w:right="62" w:hanging="10"/>
        <w:jc w:val="both"/>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 xml:space="preserve">DICTAMEN FAVORABLE DE LA COMISIÓN INFORMATIVA DE P.G. URBANÍSTICA Y AMBIENTAL, OBRAS y SERVICIOS PÚBLICOS DE 21 DE JUNIO DE 2021.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 xml:space="preserve">Por el Secretario se procede a dar lectura del oficio de la Secretaría General de 31 de enero de 2020 a Servicios Generales que da origen a la tramitación de estos expedientes que transcrito literalmente dice: </w:t>
      </w:r>
    </w:p>
    <w:p w:rsidR="00FA7413" w:rsidRDefault="00D712A8">
      <w:pPr>
        <w:spacing w:after="0"/>
        <w:ind w:left="360"/>
      </w:pPr>
      <w:r>
        <w:rPr>
          <w:rFonts w:ascii="Arial" w:eastAsia="Arial" w:hAnsi="Arial" w:cs="Arial"/>
          <w:i/>
        </w:rPr>
        <w:t xml:space="preserve"> </w:t>
      </w:r>
    </w:p>
    <w:p w:rsidR="00FA7413" w:rsidRDefault="00D712A8">
      <w:pPr>
        <w:spacing w:after="0" w:line="247" w:lineRule="auto"/>
        <w:ind w:left="355" w:right="62" w:hanging="10"/>
        <w:jc w:val="both"/>
      </w:pPr>
      <w:r>
        <w:rPr>
          <w:rFonts w:ascii="Arial" w:eastAsia="Arial" w:hAnsi="Arial" w:cs="Arial"/>
          <w:i/>
        </w:rPr>
        <w:t>“Visto que según reunión mantenida por la S</w:t>
      </w:r>
      <w:r>
        <w:rPr>
          <w:rFonts w:ascii="Arial" w:eastAsia="Arial" w:hAnsi="Arial" w:cs="Arial"/>
          <w:i/>
        </w:rPr>
        <w:t>ecretaria General con el Área de Urbanismo el 31 de enero de 2020 se ha puesto de conocimiento de la existencia de sentencias firmes que afectan al Plan General de Ordenación vigente del municipio de Candelaria de las que no se ha tomado conocimiento por e</w:t>
      </w:r>
      <w:r>
        <w:rPr>
          <w:rFonts w:ascii="Arial" w:eastAsia="Arial" w:hAnsi="Arial" w:cs="Arial"/>
          <w:i/>
        </w:rPr>
        <w:t xml:space="preserve">l Pleno de la Corporación y en consecuencia no se han ejecutado llevándolas a puro y debido efecto como exige la Ley 29/1998, de la Jurisdicción Contencioso-Administrativa.  </w:t>
      </w:r>
    </w:p>
    <w:p w:rsidR="00FA7413" w:rsidRDefault="00D712A8">
      <w:pPr>
        <w:spacing w:after="0"/>
        <w:ind w:left="360"/>
      </w:pPr>
      <w:r>
        <w:rPr>
          <w:rFonts w:ascii="Arial" w:eastAsia="Arial" w:hAnsi="Arial" w:cs="Arial"/>
        </w:rPr>
        <w:t xml:space="preserve"> </w:t>
      </w:r>
    </w:p>
    <w:p w:rsidR="00FA7413" w:rsidRDefault="00D712A8">
      <w:pPr>
        <w:spacing w:after="0" w:line="247" w:lineRule="auto"/>
        <w:ind w:left="355" w:right="62" w:hanging="10"/>
        <w:jc w:val="both"/>
      </w:pPr>
      <w:r>
        <w:rPr>
          <w:rFonts w:ascii="Arial" w:eastAsia="Arial" w:hAnsi="Arial" w:cs="Arial"/>
          <w:i/>
        </w:rPr>
        <w:t>Visto que ya consta en el expediente 10989/2019 que la Concejal delegada de Pla</w:t>
      </w:r>
      <w:r>
        <w:rPr>
          <w:rFonts w:ascii="Arial" w:eastAsia="Arial" w:hAnsi="Arial" w:cs="Arial"/>
          <w:i/>
        </w:rPr>
        <w:t>nificación y Gestión Urbanística y Ambiental emitió oficio el 12 de noviembre de 2019 solicitando dichas sentencias a Servicios Generales y de las que no se tiene conocimiento que se han remitido para su toma de conocimiento por el pleno y su ejecución cor</w:t>
      </w:r>
      <w:r>
        <w:rPr>
          <w:rFonts w:ascii="Arial" w:eastAsia="Arial" w:hAnsi="Arial" w:cs="Arial"/>
          <w:i/>
        </w:rPr>
        <w:t xml:space="preserve">respondiente.  </w:t>
      </w:r>
    </w:p>
    <w:p w:rsidR="00FA7413" w:rsidRDefault="00D712A8">
      <w:pPr>
        <w:spacing w:after="0"/>
        <w:ind w:left="360"/>
      </w:pPr>
      <w:r>
        <w:rPr>
          <w:rFonts w:ascii="Arial" w:eastAsia="Arial" w:hAnsi="Arial" w:cs="Arial"/>
        </w:rPr>
        <w:t xml:space="preserve"> </w:t>
      </w:r>
    </w:p>
    <w:p w:rsidR="00FA7413" w:rsidRDefault="00D712A8">
      <w:pPr>
        <w:spacing w:after="0" w:line="247" w:lineRule="auto"/>
        <w:ind w:left="355" w:right="62" w:hanging="10"/>
        <w:jc w:val="both"/>
      </w:pPr>
      <w:r>
        <w:rPr>
          <w:noProof/>
        </w:rPr>
        <mc:AlternateContent>
          <mc:Choice Requires="wpg">
            <w:drawing>
              <wp:anchor distT="0" distB="0" distL="114300" distR="114300" simplePos="0" relativeHeight="251724800"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09305" name="Group 209305"/>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8573" name="Rectangle 8573"/>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8574" name="Rectangle 8574"/>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64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9305" style="width:12.7031pt;height:275.586pt;position:absolute;mso-position-horizontal-relative:page;mso-position-horizontal:absolute;margin-left:682.278pt;mso-position-vertical-relative:page;margin-top:536.334pt;" coordsize="1613,34999">
                <v:rect id="Rectangle 8573"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8574"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64 de 180 </w:t>
                        </w:r>
                      </w:p>
                    </w:txbxContent>
                  </v:textbox>
                </v:rect>
                <w10:wrap type="square"/>
              </v:group>
            </w:pict>
          </mc:Fallback>
        </mc:AlternateContent>
      </w:r>
      <w:r>
        <w:rPr>
          <w:rFonts w:ascii="Arial" w:eastAsia="Arial" w:hAnsi="Arial" w:cs="Arial"/>
          <w:i/>
        </w:rPr>
        <w:t>Se le solicita al Departamento de Servici</w:t>
      </w:r>
      <w:r>
        <w:rPr>
          <w:rFonts w:ascii="Arial" w:eastAsia="Arial" w:hAnsi="Arial" w:cs="Arial"/>
          <w:i/>
        </w:rPr>
        <w:t>os Generales, Contratación y Bienes que en el período improrrogable comprendido desde el 3 al 28 de febrero de 2020 remita a Secretaría General debidamente ordenados y clasificados con un oficio de remisión, todos los expedientes originales que obren en es</w:t>
      </w:r>
      <w:r>
        <w:rPr>
          <w:rFonts w:ascii="Arial" w:eastAsia="Arial" w:hAnsi="Arial" w:cs="Arial"/>
          <w:i/>
        </w:rPr>
        <w:t>e Departamento entre el año 2007 hasta el año 2020 sobre sentencias resultantes de impugnaciones del orden jurisdiccional contencioso-administrativo relativas al Plan General de Ordenación actualmente vigente publicado en el BOP de 17 de mayo de 2007 a los</w:t>
      </w:r>
      <w:r>
        <w:rPr>
          <w:rFonts w:ascii="Arial" w:eastAsia="Arial" w:hAnsi="Arial" w:cs="Arial"/>
          <w:i/>
        </w:rPr>
        <w:t xml:space="preserve"> efectos de preparar el expediente con los informes técnicos y jurídicos correspondientes para su toma de conocimiento por el Pleno ordinario de marzo y la ejecución y cumplimiento de dichas sentencias”.</w:t>
      </w:r>
      <w:r>
        <w:rPr>
          <w:rFonts w:ascii="Times New Roman" w:eastAsia="Times New Roman" w:hAnsi="Times New Roman" w:cs="Times New Roman"/>
          <w:sz w:val="24"/>
        </w:rPr>
        <w:t xml:space="preserve"> </w:t>
      </w:r>
    </w:p>
    <w:p w:rsidR="00FA7413" w:rsidRDefault="00D712A8">
      <w:pPr>
        <w:spacing w:after="0"/>
        <w:ind w:left="360"/>
      </w:pPr>
      <w:r>
        <w:rPr>
          <w:rFonts w:ascii="Arial" w:eastAsia="Arial" w:hAnsi="Arial" w:cs="Arial"/>
          <w:b/>
          <w:i/>
        </w:rPr>
        <w:t xml:space="preserve"> </w:t>
      </w:r>
    </w:p>
    <w:p w:rsidR="00FA7413" w:rsidRDefault="00D712A8">
      <w:pPr>
        <w:spacing w:after="11" w:line="248" w:lineRule="auto"/>
        <w:ind w:left="355" w:right="62" w:hanging="10"/>
        <w:jc w:val="both"/>
      </w:pPr>
      <w:r>
        <w:rPr>
          <w:rFonts w:ascii="Arial" w:eastAsia="Arial" w:hAnsi="Arial" w:cs="Arial"/>
          <w:b/>
        </w:rPr>
        <w:t xml:space="preserve">Los 7 concejales presentes tomaron conocimiento: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Los 4 concejales del Grupo Socialista: Doña Hilaria Cecilia Otazo González, Don José Francisco </w:t>
      </w:r>
    </w:p>
    <w:p w:rsidR="00FA7413" w:rsidRDefault="00D712A8">
      <w:pPr>
        <w:spacing w:after="11" w:line="248" w:lineRule="auto"/>
        <w:ind w:left="355" w:right="64" w:hanging="10"/>
        <w:jc w:val="both"/>
      </w:pPr>
      <w:r>
        <w:rPr>
          <w:rFonts w:ascii="Arial" w:eastAsia="Arial" w:hAnsi="Arial" w:cs="Arial"/>
        </w:rPr>
        <w:t xml:space="preserve">Pinto Ramos, Doña María del Carmen Clemente Díaz y Don Olegario Francisco Alonso Bello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La concejal del Grupo Popular, Doña Raquel Martín Castro.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 xml:space="preserve">La 2 concejalas del Grupo Mixto: Doña Lourdes del Carmen Mondéjar Rondón (SSP),  y Doña Ángela Cruz Perera (CC).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3516" w:hanging="10"/>
        <w:jc w:val="both"/>
      </w:pPr>
      <w:r>
        <w:rPr>
          <w:rFonts w:ascii="Arial" w:eastAsia="Arial" w:hAnsi="Arial" w:cs="Arial"/>
          <w:b/>
        </w:rPr>
        <w:t xml:space="preserve">JUNTA DE PORTAVOCES DE 21 DE JUNIO DE 2021  </w:t>
      </w:r>
      <w:r>
        <w:rPr>
          <w:rFonts w:ascii="Arial" w:eastAsia="Arial" w:hAnsi="Arial" w:cs="Arial"/>
        </w:rPr>
        <w:t xml:space="preserve">Quedó oída.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355" w:right="62" w:hanging="10"/>
        <w:jc w:val="both"/>
      </w:pPr>
      <w:r>
        <w:rPr>
          <w:rFonts w:ascii="Arial" w:eastAsia="Arial" w:hAnsi="Arial" w:cs="Arial"/>
          <w:b/>
        </w:rPr>
        <w:t xml:space="preserve">TOMA DE CONOCIMIENTO EN EL PLENO DE 24 DE JUNIO DE 2021.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Los 18 concejales presentes tomaron conocimiento: </w:t>
      </w:r>
    </w:p>
    <w:p w:rsidR="00FA7413" w:rsidRDefault="00D712A8">
      <w:pPr>
        <w:spacing w:after="0"/>
        <w:ind w:left="360"/>
      </w:pPr>
      <w:r>
        <w:rPr>
          <w:rFonts w:ascii="Arial" w:eastAsia="Arial" w:hAnsi="Arial" w:cs="Arial"/>
          <w:b/>
        </w:rPr>
        <w:t xml:space="preserve"> </w:t>
      </w:r>
    </w:p>
    <w:p w:rsidR="00FA7413" w:rsidRDefault="00D712A8">
      <w:pPr>
        <w:spacing w:after="109" w:line="248" w:lineRule="auto"/>
        <w:ind w:left="345" w:right="64" w:firstLine="708"/>
        <w:jc w:val="both"/>
      </w:pPr>
      <w:r>
        <w:rPr>
          <w:rFonts w:ascii="Arial" w:eastAsia="Arial" w:hAnsi="Arial" w:cs="Arial"/>
        </w:rPr>
        <w:t>11 concejales del Grupo Socialista: Doña María Concepción Brito Núñez, Don Jorge Baute Delgado, Doña Olivia Concepción Pérez Díaz, Don José Francisco Pinto Ramos, Doña Hilaria Cecilia Otazo González, Don</w:t>
      </w:r>
      <w:r>
        <w:rPr>
          <w:rFonts w:ascii="Arial" w:eastAsia="Arial" w:hAnsi="Arial" w:cs="Arial"/>
        </w:rPr>
        <w:t xml:space="preserve"> Airam Pérez Chinea, Doña Margarita Eva Tendero Barroso, Don Manuel Alberto González Pestano, Doña María del Carmen Clemente Díaz, Don Olegario Francisco Alonso Bello y Don Reinaldo José Triviño Blanco. </w:t>
      </w:r>
    </w:p>
    <w:p w:rsidR="00FA7413" w:rsidRDefault="00D712A8">
      <w:pPr>
        <w:spacing w:after="109" w:line="248" w:lineRule="auto"/>
        <w:ind w:left="345" w:right="64" w:firstLine="708"/>
        <w:jc w:val="both"/>
      </w:pPr>
      <w:r>
        <w:rPr>
          <w:rFonts w:ascii="Arial" w:eastAsia="Arial" w:hAnsi="Arial" w:cs="Arial"/>
        </w:rPr>
        <w:t>3 concejales del Grupo Popular: Don Andrés Rodríguez</w:t>
      </w:r>
      <w:r>
        <w:rPr>
          <w:rFonts w:ascii="Arial" w:eastAsia="Arial" w:hAnsi="Arial" w:cs="Arial"/>
        </w:rPr>
        <w:t xml:space="preserve"> Delgado, Don Jacobo López Fariña y Doña Raquel Martín Castro. </w:t>
      </w:r>
    </w:p>
    <w:p w:rsidR="00FA7413" w:rsidRDefault="00D712A8">
      <w:pPr>
        <w:spacing w:after="109" w:line="248" w:lineRule="auto"/>
        <w:ind w:left="345" w:right="64" w:firstLine="708"/>
        <w:jc w:val="both"/>
      </w:pPr>
      <w:r>
        <w:rPr>
          <w:rFonts w:ascii="Arial" w:eastAsia="Arial" w:hAnsi="Arial" w:cs="Arial"/>
        </w:rPr>
        <w:t xml:space="preserve">3 de los concejales del Grupo Mixto: Don Antonio Delgado García y Doña Lourdes del Carmen Mondéjar Rondón (SSP) y  Doña Ángela Cruz Perera (CC). </w:t>
      </w:r>
    </w:p>
    <w:p w:rsidR="00FA7413" w:rsidRDefault="00D712A8">
      <w:pPr>
        <w:spacing w:after="109" w:line="248" w:lineRule="auto"/>
        <w:ind w:left="1078" w:right="64" w:hanging="10"/>
        <w:jc w:val="both"/>
      </w:pPr>
      <w:r>
        <w:rPr>
          <w:rFonts w:ascii="Arial" w:eastAsia="Arial" w:hAnsi="Arial" w:cs="Arial"/>
        </w:rPr>
        <w:t>1 de la concejal del Grupo Mixto (VxC): Doña A</w:t>
      </w:r>
      <w:r>
        <w:rPr>
          <w:rFonts w:ascii="Arial" w:eastAsia="Arial" w:hAnsi="Arial" w:cs="Arial"/>
        </w:rPr>
        <w:t xml:space="preserve">licia Mercedes Marrero Meneses.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0"/>
        <w:ind w:left="1013" w:right="721" w:hanging="10"/>
        <w:jc w:val="center"/>
      </w:pPr>
      <w:r>
        <w:rPr>
          <w:rFonts w:ascii="Arial" w:eastAsia="Arial" w:hAnsi="Arial" w:cs="Arial"/>
          <w:b/>
        </w:rPr>
        <w:t xml:space="preserve">ACUERDO DEL PLENO DE 24 DE JUNIO DE 2021.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112" w:line="248" w:lineRule="auto"/>
        <w:ind w:left="345" w:right="62" w:firstLine="708"/>
        <w:jc w:val="both"/>
      </w:pPr>
      <w:r>
        <w:rPr>
          <w:noProof/>
        </w:rPr>
        <mc:AlternateContent>
          <mc:Choice Requires="wpg">
            <w:drawing>
              <wp:anchor distT="0" distB="0" distL="114300" distR="114300" simplePos="0" relativeHeight="251725824"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08808" name="Group 208808"/>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8694" name="Rectangle 8694"/>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8695" name="Rectangle 8695"/>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65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8808" style="width:12.7031pt;height:275.586pt;position:absolute;mso-position-horizontal-relative:page;mso-position-horizontal:absolute;margin-left:682.278pt;mso-position-vertical-relative:page;margin-top:536.334pt;" coordsize="1613,34999">
                <v:rect id="Rectangle 8694"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8695"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65 de 180 </w:t>
                        </w:r>
                      </w:p>
                    </w:txbxContent>
                  </v:textbox>
                </v:rect>
                <w10:wrap type="square"/>
              </v:group>
            </w:pict>
          </mc:Fallback>
        </mc:AlternateContent>
      </w:r>
      <w:r>
        <w:rPr>
          <w:rFonts w:ascii="Arial" w:eastAsia="Arial" w:hAnsi="Arial" w:cs="Arial"/>
          <w:b/>
        </w:rPr>
        <w:t>Primero. - Tomar conocimiento de la Sentencia de 14 de marzo de 2011. Procedimiento ordinario 116/2007. Sala de lo Contencioso-Administrativo del Tribunal Superio</w:t>
      </w:r>
      <w:r>
        <w:rPr>
          <w:rFonts w:ascii="Arial" w:eastAsia="Arial" w:hAnsi="Arial" w:cs="Arial"/>
          <w:b/>
        </w:rPr>
        <w:t>r de Justicia de Canarias. Sección Segunda. Santa Cruz de Tenerife, que estima el recurso interpuesto por Dña Natividad Martín Pérez y Dña. Asunción Martín Pérez contra el acuerdo de la Comisión de Ordenación del Territorio y Medio Ambiente de Canarias (CO</w:t>
      </w:r>
      <w:r>
        <w:rPr>
          <w:rFonts w:ascii="Arial" w:eastAsia="Arial" w:hAnsi="Arial" w:cs="Arial"/>
          <w:b/>
        </w:rPr>
        <w:t xml:space="preserve">TMAC) del Gobierno de Canarias de 20 de julio de 2006 y de corrección de errores de 10 de noviembre de 2006 por el que se aprobó definitivamente el Plan General de Ordenación Urbana del municipio de Candelaria (BOC de 8 de mayo y 10 de mayo de 2007). </w:t>
      </w:r>
    </w:p>
    <w:p w:rsidR="00FA7413" w:rsidRDefault="00D712A8">
      <w:pPr>
        <w:spacing w:after="112" w:line="248" w:lineRule="auto"/>
        <w:ind w:left="345" w:right="62" w:firstLine="708"/>
        <w:jc w:val="both"/>
      </w:pPr>
      <w:r>
        <w:rPr>
          <w:rFonts w:ascii="Arial" w:eastAsia="Arial" w:hAnsi="Arial" w:cs="Arial"/>
          <w:b/>
        </w:rPr>
        <w:t>Segu</w:t>
      </w:r>
      <w:r>
        <w:rPr>
          <w:rFonts w:ascii="Arial" w:eastAsia="Arial" w:hAnsi="Arial" w:cs="Arial"/>
          <w:b/>
        </w:rPr>
        <w:t>ndo. - Dar traslado del presente acuerdo a la Secretaría General y a la Oficina Técnica del Ayuntamiento de Candelaria a los efectos de que se identifique la documentación afectada por el fallo de la sentencia, a fin de estampillar la correspondiente dilig</w:t>
      </w:r>
      <w:r>
        <w:rPr>
          <w:rFonts w:ascii="Arial" w:eastAsia="Arial" w:hAnsi="Arial" w:cs="Arial"/>
          <w:b/>
        </w:rPr>
        <w:t xml:space="preserve">encia de nulidad tanto en formato papel como el formado electrónico, de conformidad con lo dispuesto en el artículo 104 de la Ley de la Jurisdicción Contencioso-Administrativa. </w:t>
      </w:r>
    </w:p>
    <w:p w:rsidR="00FA7413" w:rsidRDefault="00D712A8">
      <w:pPr>
        <w:spacing w:after="112" w:line="248" w:lineRule="auto"/>
        <w:ind w:left="345" w:right="62" w:firstLine="708"/>
        <w:jc w:val="both"/>
      </w:pPr>
      <w:r>
        <w:rPr>
          <w:rFonts w:ascii="Arial" w:eastAsia="Arial" w:hAnsi="Arial" w:cs="Arial"/>
          <w:b/>
        </w:rPr>
        <w:t>Tercero. - Adicionar un Anexo en la documentación del PGO de Candelaria vigent</w:t>
      </w:r>
      <w:r>
        <w:rPr>
          <w:rFonts w:ascii="Arial" w:eastAsia="Arial" w:hAnsi="Arial" w:cs="Arial"/>
          <w:b/>
        </w:rPr>
        <w:t>e aprobado por la COTMAC ((BOC de 8 de mayo y 10 de mayo de 2007) en el que se incluirá el presente acuerdo una vez publicado a los efectos de dar por cumplida la sentencia firme antedicha y según el informe técnico de la Arquitecta Municipal de fecha 14 d</w:t>
      </w:r>
      <w:r>
        <w:rPr>
          <w:rFonts w:ascii="Arial" w:eastAsia="Arial" w:hAnsi="Arial" w:cs="Arial"/>
          <w:b/>
        </w:rPr>
        <w:t xml:space="preserve">e septiembre de 2020. </w:t>
      </w:r>
    </w:p>
    <w:p w:rsidR="00FA7413" w:rsidRDefault="00D712A8">
      <w:pPr>
        <w:spacing w:after="112" w:line="248" w:lineRule="auto"/>
        <w:ind w:left="345" w:right="62" w:firstLine="708"/>
        <w:jc w:val="both"/>
      </w:pPr>
      <w:r>
        <w:rPr>
          <w:rFonts w:ascii="Arial" w:eastAsia="Arial" w:hAnsi="Arial" w:cs="Arial"/>
          <w:b/>
        </w:rPr>
        <w:t xml:space="preserve">Cuarto. - El presente acuerdo será publicado en el Boletín Oficial de Canarias y en el Boletín Oficial de la Provincia. </w:t>
      </w:r>
    </w:p>
    <w:p w:rsidR="00FA7413" w:rsidRDefault="00D712A8">
      <w:pPr>
        <w:spacing w:after="98"/>
        <w:ind w:left="1068"/>
      </w:pPr>
      <w:r>
        <w:rPr>
          <w:rFonts w:ascii="Arial" w:eastAsia="Arial" w:hAnsi="Arial" w:cs="Arial"/>
          <w:b/>
        </w:rPr>
        <w:t xml:space="preserve"> </w:t>
      </w:r>
    </w:p>
    <w:p w:rsidR="00FA7413" w:rsidRDefault="00D712A8">
      <w:pPr>
        <w:spacing w:after="112" w:line="248" w:lineRule="auto"/>
        <w:ind w:left="355" w:right="62" w:hanging="10"/>
        <w:jc w:val="both"/>
      </w:pPr>
      <w:r>
        <w:rPr>
          <w:rFonts w:ascii="Arial" w:eastAsia="Arial" w:hAnsi="Arial" w:cs="Arial"/>
          <w:b/>
        </w:rPr>
        <w:t>ANEXO: EJECUCIÓN DE SENTENCIA DE LA SALA DE LO CONTENCIOSO-ADMINISTRATIVO DEL TRIBUNAL SUPERIOR DE JUSTICIA DE</w:t>
      </w:r>
      <w:r>
        <w:rPr>
          <w:rFonts w:ascii="Arial" w:eastAsia="Arial" w:hAnsi="Arial" w:cs="Arial"/>
          <w:b/>
        </w:rPr>
        <w:t xml:space="preserve"> CANARIAS, SECCIÓN SEGUNDA, DE 14 DE MARZO DE 2011. PROCEDIMIENTO ORDINARIO 116/2007.  </w:t>
      </w:r>
    </w:p>
    <w:p w:rsidR="00FA7413" w:rsidRDefault="00D712A8">
      <w:pPr>
        <w:spacing w:after="50"/>
        <w:ind w:right="120"/>
        <w:jc w:val="right"/>
      </w:pPr>
      <w:r>
        <w:rPr>
          <w:noProof/>
        </w:rPr>
        <w:drawing>
          <wp:inline distT="0" distB="0" distL="0" distR="0">
            <wp:extent cx="5985168" cy="7200892"/>
            <wp:effectExtent l="0" t="0" r="0" b="0"/>
            <wp:docPr id="8732" name="Picture 8732"/>
            <wp:cNvGraphicFramePr/>
            <a:graphic xmlns:a="http://schemas.openxmlformats.org/drawingml/2006/main">
              <a:graphicData uri="http://schemas.openxmlformats.org/drawingml/2006/picture">
                <pic:pic xmlns:pic="http://schemas.openxmlformats.org/drawingml/2006/picture">
                  <pic:nvPicPr>
                    <pic:cNvPr id="8732" name="Picture 8732"/>
                    <pic:cNvPicPr/>
                  </pic:nvPicPr>
                  <pic:blipFill>
                    <a:blip r:embed="rId16"/>
                    <a:stretch>
                      <a:fillRect/>
                    </a:stretch>
                  </pic:blipFill>
                  <pic:spPr>
                    <a:xfrm>
                      <a:off x="0" y="0"/>
                      <a:ext cx="5985168" cy="7200892"/>
                    </a:xfrm>
                    <a:prstGeom prst="rect">
                      <a:avLst/>
                    </a:prstGeom>
                  </pic:spPr>
                </pic:pic>
              </a:graphicData>
            </a:graphic>
          </wp:inline>
        </w:drawing>
      </w:r>
      <w:r>
        <w:rPr>
          <w:rFonts w:ascii="Arial" w:eastAsia="Arial" w:hAnsi="Arial" w:cs="Arial"/>
        </w:rPr>
        <w:t xml:space="preserve"> </w:t>
      </w:r>
    </w:p>
    <w:p w:rsidR="00FA7413" w:rsidRDefault="00D712A8">
      <w:pPr>
        <w:spacing w:after="123"/>
        <w:ind w:left="360"/>
      </w:pPr>
      <w:r>
        <w:rPr>
          <w:noProof/>
        </w:rPr>
        <mc:AlternateContent>
          <mc:Choice Requires="wpg">
            <w:drawing>
              <wp:anchor distT="0" distB="0" distL="114300" distR="114300" simplePos="0" relativeHeight="251726848"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09199" name="Group 209199"/>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8735" name="Rectangle 8735"/>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8736" name="Rectangle 8736"/>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Documento firmado electrónicamente desde la plataforma esPubli</w:t>
                              </w:r>
                              <w:r>
                                <w:rPr>
                                  <w:rFonts w:ascii="Arial" w:eastAsia="Arial" w:hAnsi="Arial" w:cs="Arial"/>
                                  <w:sz w:val="12"/>
                                </w:rPr>
                                <w:t xml:space="preserve">co Gestiona | Página 66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9199" style="width:12.7031pt;height:275.586pt;position:absolute;mso-position-horizontal-relative:page;mso-position-horizontal:absolute;margin-left:682.278pt;mso-position-vertical-relative:page;margin-top:536.334pt;" coordsize="1613,34999">
                <v:rect id="Rectangle 8735"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8736"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66 de 180 </w:t>
                        </w:r>
                      </w:p>
                    </w:txbxContent>
                  </v:textbox>
                </v:rect>
                <w10:wrap type="square"/>
              </v:group>
            </w:pict>
          </mc:Fallback>
        </mc:AlternateContent>
      </w:r>
      <w:r>
        <w:rPr>
          <w:rFonts w:ascii="Arial" w:eastAsia="Arial" w:hAnsi="Arial" w:cs="Arial"/>
        </w:rPr>
        <w:t xml:space="preserve"> </w:t>
      </w:r>
    </w:p>
    <w:p w:rsidR="00FA7413" w:rsidRDefault="00D712A8">
      <w:pPr>
        <w:spacing w:after="112" w:line="248" w:lineRule="auto"/>
        <w:ind w:left="1078" w:right="62" w:hanging="10"/>
        <w:jc w:val="both"/>
      </w:pPr>
      <w:r>
        <w:rPr>
          <w:rFonts w:ascii="Arial" w:eastAsia="Arial" w:hAnsi="Arial" w:cs="Arial"/>
          <w:b/>
        </w:rPr>
        <w:t xml:space="preserve">“ </w:t>
      </w:r>
    </w:p>
    <w:p w:rsidR="00FA7413" w:rsidRDefault="00D712A8">
      <w:pPr>
        <w:spacing w:after="93" w:line="249" w:lineRule="auto"/>
        <w:ind w:left="355" w:right="66" w:hanging="10"/>
        <w:jc w:val="both"/>
      </w:pPr>
      <w:r>
        <w:rPr>
          <w:rFonts w:ascii="Arial" w:eastAsia="Arial" w:hAnsi="Arial" w:cs="Arial"/>
          <w:b/>
          <w:sz w:val="24"/>
        </w:rPr>
        <w:t>11.-</w:t>
      </w:r>
      <w:r>
        <w:rPr>
          <w:rFonts w:ascii="Arial" w:eastAsia="Arial" w:hAnsi="Arial" w:cs="Arial"/>
          <w:sz w:val="24"/>
        </w:rPr>
        <w:t xml:space="preserve"> </w:t>
      </w:r>
      <w:r>
        <w:rPr>
          <w:rFonts w:ascii="Arial" w:eastAsia="Arial" w:hAnsi="Arial" w:cs="Arial"/>
          <w:b/>
          <w:sz w:val="24"/>
        </w:rPr>
        <w:t>Expediente 2328/2020. Toma de conocimiento y ejecución de la sentencia del Tribunal Superior de Justicia de Canarias de fecha 8 de julio de 2011 por la que se estima el recurso interpuesto por Don Felipe González Santos contra el PGO de Candelaria.</w:t>
      </w:r>
      <w:r>
        <w:rPr>
          <w:rFonts w:ascii="Arial" w:eastAsia="Arial" w:hAnsi="Arial" w:cs="Arial"/>
        </w:rPr>
        <w:t xml:space="preserve"> </w:t>
      </w:r>
    </w:p>
    <w:p w:rsidR="00FA7413" w:rsidRDefault="00D712A8">
      <w:pPr>
        <w:spacing w:after="100"/>
        <w:ind w:left="360"/>
      </w:pPr>
      <w:r>
        <w:rPr>
          <w:rFonts w:ascii="Arial" w:eastAsia="Arial" w:hAnsi="Arial" w:cs="Arial"/>
          <w:b/>
        </w:rPr>
        <w:t xml:space="preserve"> </w:t>
      </w:r>
    </w:p>
    <w:p w:rsidR="00FA7413" w:rsidRDefault="00D712A8">
      <w:pPr>
        <w:spacing w:after="112" w:line="248" w:lineRule="auto"/>
        <w:ind w:left="355" w:right="62" w:hanging="10"/>
        <w:jc w:val="both"/>
      </w:pPr>
      <w:r>
        <w:rPr>
          <w:rFonts w:ascii="Arial" w:eastAsia="Arial" w:hAnsi="Arial" w:cs="Arial"/>
          <w:b/>
        </w:rPr>
        <w:t xml:space="preserve">   C</w:t>
      </w:r>
      <w:r>
        <w:rPr>
          <w:rFonts w:ascii="Arial" w:eastAsia="Arial" w:hAnsi="Arial" w:cs="Arial"/>
          <w:b/>
        </w:rPr>
        <w:t>onsta en el expediente Informe Jurídico emitido por Don Octavio Manuel Fernández Hernández, que desempeña el puesto de trabajo de Secretario General, de 15 de junio de 2021, del siguiente tenor literal:</w:t>
      </w:r>
      <w:r>
        <w:rPr>
          <w:rFonts w:ascii="Arial" w:eastAsia="Arial" w:hAnsi="Arial" w:cs="Arial"/>
        </w:rPr>
        <w:t xml:space="preserve"> </w:t>
      </w:r>
    </w:p>
    <w:p w:rsidR="00FA7413" w:rsidRDefault="00D712A8">
      <w:pPr>
        <w:spacing w:after="109"/>
        <w:ind w:left="360"/>
      </w:pPr>
      <w:r>
        <w:rPr>
          <w:rFonts w:ascii="Arial" w:eastAsia="Arial" w:hAnsi="Arial" w:cs="Arial"/>
          <w:b/>
        </w:rPr>
        <w:t xml:space="preserve"> </w:t>
      </w:r>
    </w:p>
    <w:p w:rsidR="00FA7413" w:rsidRDefault="00D712A8">
      <w:pPr>
        <w:spacing w:after="0" w:line="354" w:lineRule="auto"/>
        <w:ind w:left="1068" w:right="1671" w:firstLine="2837"/>
        <w:jc w:val="both"/>
      </w:pPr>
      <w:r>
        <w:rPr>
          <w:rFonts w:ascii="Arial" w:eastAsia="Arial" w:hAnsi="Arial" w:cs="Arial"/>
          <w:b/>
        </w:rPr>
        <w:t xml:space="preserve">“INFORME JURÍDICO                           Visto </w:t>
      </w:r>
      <w:r>
        <w:rPr>
          <w:rFonts w:ascii="Arial" w:eastAsia="Arial" w:hAnsi="Arial" w:cs="Arial"/>
          <w:b/>
        </w:rPr>
        <w:t xml:space="preserve">el expediente antedicho se emite el siguiente informe: </w:t>
      </w:r>
    </w:p>
    <w:p w:rsidR="00FA7413" w:rsidRDefault="00D712A8">
      <w:pPr>
        <w:pStyle w:val="Ttulo1"/>
        <w:ind w:left="1013" w:right="1590"/>
      </w:pPr>
      <w:r>
        <w:t xml:space="preserve">ANTECEDENTES DE HECHO  </w:t>
      </w:r>
    </w:p>
    <w:p w:rsidR="00FA7413" w:rsidRDefault="00D712A8">
      <w:pPr>
        <w:spacing w:after="109" w:line="248" w:lineRule="auto"/>
        <w:ind w:left="345" w:right="64" w:firstLine="708"/>
        <w:jc w:val="both"/>
      </w:pPr>
      <w:r>
        <w:rPr>
          <w:rFonts w:ascii="Arial" w:eastAsia="Arial" w:hAnsi="Arial" w:cs="Arial"/>
          <w:b/>
        </w:rPr>
        <w:t>Primero. -</w:t>
      </w:r>
      <w:r>
        <w:rPr>
          <w:rFonts w:ascii="Arial" w:eastAsia="Arial" w:hAnsi="Arial" w:cs="Arial"/>
        </w:rPr>
        <w:t xml:space="preserve"> Por Acuerdo de la Comisión de Ordenación del Territorio y Medio Ambiente de Canarias (COTMAC) del Gobierno de Canarias de 20 de julio de 2006 y de corrección de erro</w:t>
      </w:r>
      <w:r>
        <w:rPr>
          <w:rFonts w:ascii="Arial" w:eastAsia="Arial" w:hAnsi="Arial" w:cs="Arial"/>
        </w:rPr>
        <w:t xml:space="preserve">res de 10 de noviembre de 2006 se aprobó definitivamente el Plan General de Ordenación Urbana del municipio de Candelaria (BOC de 8 de mayo y 10 de mayo de 2007) (BOP 17 de mayo de 2007) </w:t>
      </w:r>
    </w:p>
    <w:p w:rsidR="00FA7413" w:rsidRDefault="00D712A8">
      <w:pPr>
        <w:spacing w:after="109" w:line="248" w:lineRule="auto"/>
        <w:ind w:left="345" w:right="64" w:firstLine="708"/>
        <w:jc w:val="both"/>
      </w:pPr>
      <w:r>
        <w:rPr>
          <w:rFonts w:ascii="Arial" w:eastAsia="Arial" w:hAnsi="Arial" w:cs="Arial"/>
          <w:b/>
        </w:rPr>
        <w:t>Segundo. -</w:t>
      </w:r>
      <w:r>
        <w:rPr>
          <w:rFonts w:ascii="Arial" w:eastAsia="Arial" w:hAnsi="Arial" w:cs="Arial"/>
        </w:rPr>
        <w:t xml:space="preserve"> Que se interpuso recurso contencioso-administrativo contr</w:t>
      </w:r>
      <w:r>
        <w:rPr>
          <w:rFonts w:ascii="Arial" w:eastAsia="Arial" w:hAnsi="Arial" w:cs="Arial"/>
        </w:rPr>
        <w:t xml:space="preserve">a el acuerdo mencionado en el punto primero  </w:t>
      </w:r>
    </w:p>
    <w:p w:rsidR="00FA7413" w:rsidRDefault="00D712A8">
      <w:pPr>
        <w:spacing w:after="109" w:line="248" w:lineRule="auto"/>
        <w:ind w:left="355" w:right="64" w:hanging="10"/>
        <w:jc w:val="both"/>
      </w:pPr>
      <w:r>
        <w:rPr>
          <w:noProof/>
        </w:rPr>
        <mc:AlternateContent>
          <mc:Choice Requires="wpg">
            <w:drawing>
              <wp:anchor distT="0" distB="0" distL="114300" distR="114300" simplePos="0" relativeHeight="251727872"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09820" name="Group 209820"/>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8885" name="Rectangle 8885"/>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8886" name="Rectangle 8886"/>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67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9820" style="width:12.7031pt;height:275.586pt;position:absolute;mso-position-horizontal-relative:page;mso-position-horizontal:absolute;margin-left:682.278pt;mso-position-vertical-relative:page;margin-top:536.334pt;" coordsize="1613,34999">
                <v:rect id="Rectangle 8885"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8886"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67 de 180 </w:t>
                        </w:r>
                      </w:p>
                    </w:txbxContent>
                  </v:textbox>
                </v:rect>
                <w10:wrap type="square"/>
              </v:group>
            </w:pict>
          </mc:Fallback>
        </mc:AlternateContent>
      </w:r>
      <w:r>
        <w:rPr>
          <w:rFonts w:ascii="Arial" w:eastAsia="Arial" w:hAnsi="Arial" w:cs="Arial"/>
        </w:rPr>
        <w:t xml:space="preserve"> </w:t>
      </w:r>
      <w:r>
        <w:rPr>
          <w:rFonts w:ascii="Arial" w:eastAsia="Arial" w:hAnsi="Arial" w:cs="Arial"/>
        </w:rPr>
        <w:tab/>
      </w:r>
      <w:r>
        <w:rPr>
          <w:rFonts w:ascii="Arial" w:eastAsia="Arial" w:hAnsi="Arial" w:cs="Arial"/>
          <w:b/>
        </w:rPr>
        <w:t>Tercero. -</w:t>
      </w:r>
      <w:r>
        <w:rPr>
          <w:rFonts w:ascii="Arial" w:eastAsia="Arial" w:hAnsi="Arial" w:cs="Arial"/>
        </w:rPr>
        <w:t xml:space="preserve"> </w:t>
      </w:r>
      <w:r>
        <w:rPr>
          <w:rFonts w:ascii="Arial" w:eastAsia="Arial" w:hAnsi="Arial" w:cs="Arial"/>
        </w:rPr>
        <w:t xml:space="preserve">Que consta en el expediente sentencia que ha remitido Servicios Generales a la Secretaría General con fecha 26 de febrero de 2020: </w:t>
      </w:r>
    </w:p>
    <w:p w:rsidR="00FA7413" w:rsidRDefault="00D712A8">
      <w:pPr>
        <w:spacing w:after="95"/>
        <w:ind w:left="360"/>
      </w:pPr>
      <w:r>
        <w:rPr>
          <w:rFonts w:ascii="Arial" w:eastAsia="Arial" w:hAnsi="Arial" w:cs="Arial"/>
        </w:rPr>
        <w:t xml:space="preserve"> </w:t>
      </w:r>
    </w:p>
    <w:p w:rsidR="00FA7413" w:rsidRDefault="00D712A8">
      <w:pPr>
        <w:spacing w:after="112" w:line="248" w:lineRule="auto"/>
        <w:ind w:left="355" w:right="62" w:hanging="10"/>
        <w:jc w:val="both"/>
      </w:pPr>
      <w:r>
        <w:rPr>
          <w:rFonts w:ascii="Arial" w:eastAsia="Arial" w:hAnsi="Arial" w:cs="Arial"/>
          <w:b/>
        </w:rPr>
        <w:t>Sentencia de 8 de julio de 2011 de la Sala de lo Contencioso-Administrativo del Tribunal Superior de Justicia de Canarias.</w:t>
      </w:r>
      <w:r>
        <w:rPr>
          <w:rFonts w:ascii="Arial" w:eastAsia="Arial" w:hAnsi="Arial" w:cs="Arial"/>
          <w:b/>
        </w:rPr>
        <w:t xml:space="preserve"> Sala de lo Contencioso-Administrativo. Sección Segunda. Procedimiento 258/2007. </w:t>
      </w:r>
    </w:p>
    <w:p w:rsidR="00FA7413" w:rsidRDefault="00D712A8">
      <w:pPr>
        <w:spacing w:after="150" w:line="248" w:lineRule="auto"/>
        <w:ind w:left="355" w:right="62" w:hanging="10"/>
        <w:jc w:val="both"/>
      </w:pPr>
      <w:r>
        <w:rPr>
          <w:rFonts w:ascii="Arial" w:eastAsia="Arial" w:hAnsi="Arial" w:cs="Arial"/>
          <w:b/>
        </w:rPr>
        <w:t xml:space="preserve">Fundamentos de derecho: </w:t>
      </w:r>
    </w:p>
    <w:p w:rsidR="00FA7413" w:rsidRDefault="00D712A8">
      <w:pPr>
        <w:spacing w:after="112" w:line="247" w:lineRule="auto"/>
        <w:ind w:left="355" w:right="62" w:hanging="10"/>
        <w:jc w:val="both"/>
      </w:pPr>
      <w:r>
        <w:rPr>
          <w:rFonts w:ascii="Arial" w:eastAsia="Arial" w:hAnsi="Arial" w:cs="Arial"/>
          <w:b/>
          <w:i/>
        </w:rPr>
        <w:t>FJ 1º:</w:t>
      </w:r>
      <w:r>
        <w:rPr>
          <w:rFonts w:ascii="Arial" w:eastAsia="Arial" w:hAnsi="Arial" w:cs="Arial"/>
          <w:i/>
        </w:rPr>
        <w:t xml:space="preserve"> “el actor es propietario de la vivienda y solar sita en c/ Armiche, nº 3 de Las Caletillas, con una superficie de 482,79 m2 inscrita en el Reg</w:t>
      </w:r>
      <w:r>
        <w:rPr>
          <w:rFonts w:ascii="Arial" w:eastAsia="Arial" w:hAnsi="Arial" w:cs="Arial"/>
          <w:i/>
        </w:rPr>
        <w:t>istro de la Propiedad nº 4 de Santa Cruz de Tenerife (finca 5285).</w:t>
      </w:r>
      <w:r>
        <w:rPr>
          <w:rFonts w:ascii="Arial" w:eastAsia="Arial" w:hAnsi="Arial" w:cs="Arial"/>
        </w:rPr>
        <w:t xml:space="preserve"> </w:t>
      </w:r>
    </w:p>
    <w:p w:rsidR="00FA7413" w:rsidRDefault="00D712A8">
      <w:pPr>
        <w:spacing w:after="112" w:line="247" w:lineRule="auto"/>
        <w:ind w:left="355" w:right="62" w:hanging="10"/>
        <w:jc w:val="both"/>
      </w:pPr>
      <w:r>
        <w:rPr>
          <w:rFonts w:ascii="Arial" w:eastAsia="Arial" w:hAnsi="Arial" w:cs="Arial"/>
          <w:i/>
        </w:rPr>
        <w:t xml:space="preserve">Según la Oficina del Catastro la propiedad está formada por dos fincas colidantes que suman una superficie total de 479 m2. </w:t>
      </w:r>
    </w:p>
    <w:p w:rsidR="00FA7413" w:rsidRDefault="00D712A8">
      <w:pPr>
        <w:spacing w:after="112" w:line="247" w:lineRule="auto"/>
        <w:ind w:left="355" w:right="62" w:hanging="10"/>
        <w:jc w:val="both"/>
      </w:pPr>
      <w:r>
        <w:rPr>
          <w:rFonts w:ascii="Arial" w:eastAsia="Arial" w:hAnsi="Arial" w:cs="Arial"/>
          <w:i/>
        </w:rPr>
        <w:t>Cuestiona en la demanda, en relación a la finca de su propiedad</w:t>
      </w:r>
      <w:r>
        <w:rPr>
          <w:rFonts w:ascii="Arial" w:eastAsia="Arial" w:hAnsi="Arial" w:cs="Arial"/>
          <w:i/>
        </w:rPr>
        <w:t xml:space="preserve">, la legalidad de la delimitación de la Actuación Urbanística Aislada (AUA) C8 Punta del Rey.  </w:t>
      </w:r>
    </w:p>
    <w:p w:rsidR="00FA7413" w:rsidRDefault="00D712A8">
      <w:pPr>
        <w:spacing w:after="112" w:line="247" w:lineRule="auto"/>
        <w:ind w:left="355" w:right="62" w:hanging="10"/>
        <w:jc w:val="both"/>
      </w:pPr>
      <w:r>
        <w:rPr>
          <w:rFonts w:ascii="Arial" w:eastAsia="Arial" w:hAnsi="Arial" w:cs="Arial"/>
          <w:i/>
        </w:rPr>
        <w:t xml:space="preserve">El ámbito de la AUA C8 afecta a tres fincas catastrales: la 6697305 y 6697306 propiedad del actor, y la 6697307 (210 m2) propiedad de un tercero. </w:t>
      </w:r>
    </w:p>
    <w:p w:rsidR="00FA7413" w:rsidRDefault="00D712A8">
      <w:pPr>
        <w:spacing w:after="112" w:line="247" w:lineRule="auto"/>
        <w:ind w:left="355" w:right="62" w:hanging="10"/>
        <w:jc w:val="both"/>
      </w:pPr>
      <w:r>
        <w:rPr>
          <w:rFonts w:ascii="Arial" w:eastAsia="Arial" w:hAnsi="Arial" w:cs="Arial"/>
          <w:i/>
        </w:rPr>
        <w:t xml:space="preserve">Se plantean, </w:t>
      </w:r>
      <w:r>
        <w:rPr>
          <w:rFonts w:ascii="Arial" w:eastAsia="Arial" w:hAnsi="Arial" w:cs="Arial"/>
          <w:i/>
        </w:rPr>
        <w:t xml:space="preserve">sucintamente referidas, las siguientes cuestiones: </w:t>
      </w:r>
    </w:p>
    <w:p w:rsidR="00FA7413" w:rsidRDefault="00D712A8">
      <w:pPr>
        <w:spacing w:after="112" w:line="247" w:lineRule="auto"/>
        <w:ind w:left="355" w:right="62" w:hanging="10"/>
        <w:jc w:val="both"/>
      </w:pPr>
      <w:r>
        <w:rPr>
          <w:rFonts w:ascii="Arial" w:eastAsia="Arial" w:hAnsi="Arial" w:cs="Arial"/>
          <w:i/>
        </w:rPr>
        <w:t xml:space="preserve">-El suelo donde se ubica su propiedad debe ser considerado como suelo urbano consolidado y la delimitación de la AUA implica su consideración como Urbano No Consolidado.  </w:t>
      </w:r>
    </w:p>
    <w:p w:rsidR="00FA7413" w:rsidRDefault="00D712A8">
      <w:pPr>
        <w:spacing w:after="112" w:line="247" w:lineRule="auto"/>
        <w:ind w:left="355" w:right="62" w:hanging="10"/>
        <w:jc w:val="both"/>
      </w:pPr>
      <w:r>
        <w:rPr>
          <w:rFonts w:ascii="Arial" w:eastAsia="Arial" w:hAnsi="Arial" w:cs="Arial"/>
          <w:i/>
        </w:rPr>
        <w:t>-Que la referencia al Desarrollo</w:t>
      </w:r>
      <w:r>
        <w:rPr>
          <w:rFonts w:ascii="Arial" w:eastAsia="Arial" w:hAnsi="Arial" w:cs="Arial"/>
          <w:i/>
        </w:rPr>
        <w:t xml:space="preserve"> de la Actuación por Sistema de Ejecución: Privado por compensación (indicativo), es contrario a derecho. </w:t>
      </w:r>
    </w:p>
    <w:p w:rsidR="00FA7413" w:rsidRDefault="00D712A8">
      <w:pPr>
        <w:spacing w:after="112" w:line="247" w:lineRule="auto"/>
        <w:ind w:left="355" w:right="62" w:hanging="10"/>
        <w:jc w:val="both"/>
      </w:pPr>
      <w:r>
        <w:rPr>
          <w:rFonts w:ascii="Arial" w:eastAsia="Arial" w:hAnsi="Arial" w:cs="Arial"/>
          <w:i/>
        </w:rPr>
        <w:t xml:space="preserve">-Que los propietarios de SU consolidado no vienen obligados a ceder suelo destinado a dotaciones de ningún tipo. </w:t>
      </w:r>
    </w:p>
    <w:p w:rsidR="00FA7413" w:rsidRDefault="00D712A8">
      <w:pPr>
        <w:spacing w:after="112" w:line="247" w:lineRule="auto"/>
        <w:ind w:left="355" w:right="62" w:hanging="10"/>
        <w:jc w:val="both"/>
      </w:pPr>
      <w:r>
        <w:rPr>
          <w:rFonts w:ascii="Arial" w:eastAsia="Arial" w:hAnsi="Arial" w:cs="Arial"/>
          <w:i/>
        </w:rPr>
        <w:t>Durante la tramitación del recurso,</w:t>
      </w:r>
      <w:r>
        <w:rPr>
          <w:rFonts w:ascii="Arial" w:eastAsia="Arial" w:hAnsi="Arial" w:cs="Arial"/>
          <w:i/>
        </w:rPr>
        <w:t xml:space="preserve"> el Jurado Provincial de Expropiación Forzosa de 23 de marzo de 2009, fijó la cantidad de 45.963,06 euros como justiprecio que el Ayuntamiento de Candelaria debía abonar al recurrente por la expropiación de la parte de la finca de su propiedad, 100,51 m2 q</w:t>
      </w:r>
      <w:r>
        <w:rPr>
          <w:rFonts w:ascii="Arial" w:eastAsia="Arial" w:hAnsi="Arial" w:cs="Arial"/>
          <w:i/>
        </w:rPr>
        <w:t xml:space="preserve">ue el Plan General de Ordenación clasificó como Espacio libre y las Normas Subsidiarias de 1987 como viario. </w:t>
      </w:r>
    </w:p>
    <w:p w:rsidR="00FA7413" w:rsidRDefault="00D712A8">
      <w:pPr>
        <w:spacing w:after="100"/>
        <w:ind w:left="360"/>
      </w:pPr>
      <w:r>
        <w:rPr>
          <w:rFonts w:ascii="Arial" w:eastAsia="Arial" w:hAnsi="Arial" w:cs="Arial"/>
          <w:b/>
          <w:i/>
        </w:rPr>
        <w:t xml:space="preserve"> </w:t>
      </w:r>
    </w:p>
    <w:p w:rsidR="00FA7413" w:rsidRDefault="00D712A8">
      <w:pPr>
        <w:spacing w:after="112" w:line="247" w:lineRule="auto"/>
        <w:ind w:left="355" w:right="62" w:hanging="10"/>
        <w:jc w:val="both"/>
      </w:pPr>
      <w:r>
        <w:rPr>
          <w:rFonts w:ascii="Arial" w:eastAsia="Arial" w:hAnsi="Arial" w:cs="Arial"/>
          <w:b/>
          <w:i/>
        </w:rPr>
        <w:t>FJ2º.-</w:t>
      </w:r>
      <w:r>
        <w:rPr>
          <w:rFonts w:ascii="Arial" w:eastAsia="Arial" w:hAnsi="Arial" w:cs="Arial"/>
          <w:i/>
        </w:rPr>
        <w:t xml:space="preserve"> </w:t>
      </w:r>
      <w:r>
        <w:rPr>
          <w:rFonts w:ascii="Arial" w:eastAsia="Arial" w:hAnsi="Arial" w:cs="Arial"/>
          <w:i/>
        </w:rPr>
        <w:t>En la Memoria Pormenorizada de la documentación del Plan General de Ordenación (f 184) se dice “Para obtener el tramo de Zona Verde de las 2 parcelas sin edificar junto a la Punta del Rey se define una Actuación Urbanística Aislada”. En el mismo sentido, a</w:t>
      </w:r>
      <w:r>
        <w:rPr>
          <w:rFonts w:ascii="Arial" w:eastAsia="Arial" w:hAnsi="Arial" w:cs="Arial"/>
          <w:i/>
        </w:rPr>
        <w:t>l folio 211 se dice: “Se ha definido una Actuación urbanística Aislada frente al Charco de Graciliano para obtener la zona verde del frente”</w:t>
      </w:r>
      <w:r>
        <w:rPr>
          <w:rFonts w:ascii="Arial" w:eastAsia="Arial" w:hAnsi="Arial" w:cs="Arial"/>
        </w:rPr>
        <w:t xml:space="preserve"> </w:t>
      </w:r>
    </w:p>
    <w:p w:rsidR="00FA7413" w:rsidRDefault="00D712A8">
      <w:pPr>
        <w:spacing w:after="145" w:line="247" w:lineRule="auto"/>
        <w:ind w:left="355" w:right="62" w:hanging="10"/>
        <w:jc w:val="both"/>
      </w:pPr>
      <w:r>
        <w:rPr>
          <w:rFonts w:ascii="Arial" w:eastAsia="Arial" w:hAnsi="Arial" w:cs="Arial"/>
          <w:i/>
        </w:rPr>
        <w:t>Según la ficha urbanística la superficie del ámbito es de 6352. La tipología de edificación cerrada y el uso princ</w:t>
      </w:r>
      <w:r>
        <w:rPr>
          <w:rFonts w:ascii="Arial" w:eastAsia="Arial" w:hAnsi="Arial" w:cs="Arial"/>
          <w:i/>
        </w:rPr>
        <w:t xml:space="preserve">ipal residencial. Comprende una zona verde que afecta al propietario 1 en 88 m2 y al propietario 2 en 150 m2. </w:t>
      </w:r>
    </w:p>
    <w:p w:rsidR="00FA7413" w:rsidRDefault="00D712A8">
      <w:pPr>
        <w:spacing w:after="112" w:line="247" w:lineRule="auto"/>
        <w:ind w:left="355" w:right="62" w:hanging="10"/>
        <w:jc w:val="both"/>
      </w:pPr>
      <w:r>
        <w:rPr>
          <w:rFonts w:ascii="Arial" w:eastAsia="Arial" w:hAnsi="Arial" w:cs="Arial"/>
          <w:i/>
        </w:rPr>
        <w:t xml:space="preserve">En el apartado “condiciones específicas y medidas correctoras”, se refiere: </w:t>
      </w:r>
    </w:p>
    <w:p w:rsidR="00FA7413" w:rsidRDefault="00D712A8">
      <w:pPr>
        <w:spacing w:after="112" w:line="247" w:lineRule="auto"/>
        <w:ind w:left="355" w:right="62" w:hanging="10"/>
        <w:jc w:val="both"/>
      </w:pPr>
      <w:r>
        <w:rPr>
          <w:rFonts w:ascii="Arial" w:eastAsia="Arial" w:hAnsi="Arial" w:cs="Arial"/>
          <w:i/>
        </w:rPr>
        <w:t>-</w:t>
      </w:r>
      <w:r>
        <w:rPr>
          <w:rFonts w:ascii="Arial" w:eastAsia="Arial" w:hAnsi="Arial" w:cs="Arial"/>
          <w:i/>
        </w:rPr>
        <w:t xml:space="preserve">Las parcelas cederán el frente gratuitamente como zona verde no teniendo la obligación de urbanizarlo. </w:t>
      </w:r>
    </w:p>
    <w:p w:rsidR="00FA7413" w:rsidRDefault="00D712A8">
      <w:pPr>
        <w:spacing w:after="112" w:line="247" w:lineRule="auto"/>
        <w:ind w:left="355" w:right="62" w:hanging="10"/>
        <w:jc w:val="both"/>
      </w:pPr>
      <w:r>
        <w:rPr>
          <w:noProof/>
        </w:rPr>
        <mc:AlternateContent>
          <mc:Choice Requires="wpg">
            <w:drawing>
              <wp:anchor distT="0" distB="0" distL="114300" distR="114300" simplePos="0" relativeHeight="251728896"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09737" name="Group 209737"/>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8994" name="Rectangle 8994"/>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8995" name="Rectangle 8995"/>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Documento firmado electrónicamente desde la plata</w:t>
                              </w:r>
                              <w:r>
                                <w:rPr>
                                  <w:rFonts w:ascii="Arial" w:eastAsia="Arial" w:hAnsi="Arial" w:cs="Arial"/>
                                  <w:sz w:val="12"/>
                                </w:rPr>
                                <w:t xml:space="preserve">forma esPublico Gestiona | Página 68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9737" style="width:12.7031pt;height:275.586pt;position:absolute;mso-position-horizontal-relative:page;mso-position-horizontal:absolute;margin-left:682.278pt;mso-position-vertical-relative:page;margin-top:536.334pt;" coordsize="1613,34999">
                <v:rect id="Rectangle 8994"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8995"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68 de 180 </w:t>
                        </w:r>
                      </w:p>
                    </w:txbxContent>
                  </v:textbox>
                </v:rect>
                <w10:wrap type="square"/>
              </v:group>
            </w:pict>
          </mc:Fallback>
        </mc:AlternateContent>
      </w:r>
      <w:r>
        <w:rPr>
          <w:rFonts w:ascii="Arial" w:eastAsia="Arial" w:hAnsi="Arial" w:cs="Arial"/>
          <w:i/>
        </w:rPr>
        <w:t xml:space="preserve">-Deberán tramitar la correspondiente autorización de Costas para la ocupación de la servidumbre de protección. </w:t>
      </w:r>
    </w:p>
    <w:p w:rsidR="00FA7413" w:rsidRDefault="00D712A8">
      <w:pPr>
        <w:spacing w:after="112" w:line="302" w:lineRule="auto"/>
        <w:ind w:left="355" w:right="62" w:hanging="10"/>
        <w:jc w:val="both"/>
      </w:pPr>
      <w:r>
        <w:rPr>
          <w:rFonts w:ascii="Arial" w:eastAsia="Arial" w:hAnsi="Arial" w:cs="Arial"/>
          <w:i/>
        </w:rPr>
        <w:t>-El proyecto de edificación será único, si bien se podrá ejecutar según las dos parcelas resultante</w:t>
      </w:r>
      <w:r>
        <w:rPr>
          <w:rFonts w:ascii="Arial" w:eastAsia="Arial" w:hAnsi="Arial" w:cs="Arial"/>
          <w:i/>
        </w:rPr>
        <w:t xml:space="preserve">s. En el referido a “compromisos de urbanización”: deberán reponer las aceras y resolver las acometidas de las redes incluyéndose en el proyecto de edificación” </w:t>
      </w:r>
    </w:p>
    <w:p w:rsidR="00FA7413" w:rsidRDefault="00D712A8">
      <w:pPr>
        <w:spacing w:after="112" w:line="247" w:lineRule="auto"/>
        <w:ind w:left="355" w:right="62" w:hanging="10"/>
        <w:jc w:val="both"/>
      </w:pPr>
      <w:r>
        <w:rPr>
          <w:rFonts w:ascii="Arial" w:eastAsia="Arial" w:hAnsi="Arial" w:cs="Arial"/>
          <w:i/>
        </w:rPr>
        <w:t xml:space="preserve">“Desarrollo de la Actuación”: Sistema de Ejecución: Privado por compensación (indicativo) </w:t>
      </w:r>
    </w:p>
    <w:p w:rsidR="00FA7413" w:rsidRDefault="00D712A8">
      <w:pPr>
        <w:spacing w:after="100"/>
        <w:ind w:left="360"/>
      </w:pPr>
      <w:r>
        <w:rPr>
          <w:rFonts w:ascii="Arial" w:eastAsia="Arial" w:hAnsi="Arial" w:cs="Arial"/>
          <w:i/>
        </w:rPr>
        <w:t xml:space="preserve"> </w:t>
      </w:r>
    </w:p>
    <w:p w:rsidR="00FA7413" w:rsidRDefault="00D712A8">
      <w:pPr>
        <w:spacing w:after="112" w:line="247" w:lineRule="auto"/>
        <w:ind w:left="355" w:right="62" w:hanging="10"/>
        <w:jc w:val="both"/>
      </w:pPr>
      <w:r>
        <w:rPr>
          <w:rFonts w:ascii="Arial" w:eastAsia="Arial" w:hAnsi="Arial" w:cs="Arial"/>
          <w:b/>
          <w:i/>
        </w:rPr>
        <w:t>F</w:t>
      </w:r>
      <w:r>
        <w:rPr>
          <w:rFonts w:ascii="Arial" w:eastAsia="Arial" w:hAnsi="Arial" w:cs="Arial"/>
          <w:b/>
          <w:i/>
        </w:rPr>
        <w:t xml:space="preserve">J3º.- </w:t>
      </w:r>
      <w:r>
        <w:rPr>
          <w:rFonts w:ascii="Arial" w:eastAsia="Arial" w:hAnsi="Arial" w:cs="Arial"/>
          <w:i/>
        </w:rPr>
        <w:t>Entre los deberes de los propietarios del Suelo Urbano Consolidado, el artículo 73.3 de la Ley de Ordenación del Territorio de Canarias, texto refundido aprobado por el real decreto legislativo 1/2000, de 8 de mayo, no se contempla la de cesión de su</w:t>
      </w:r>
      <w:r>
        <w:rPr>
          <w:rFonts w:ascii="Arial" w:eastAsia="Arial" w:hAnsi="Arial" w:cs="Arial"/>
          <w:i/>
        </w:rPr>
        <w:t>elo.</w:t>
      </w:r>
      <w:r>
        <w:rPr>
          <w:rFonts w:ascii="Arial" w:eastAsia="Arial" w:hAnsi="Arial" w:cs="Arial"/>
        </w:rPr>
        <w:t xml:space="preserve"> </w:t>
      </w:r>
    </w:p>
    <w:p w:rsidR="00FA7413" w:rsidRDefault="00D712A8">
      <w:pPr>
        <w:spacing w:after="112" w:line="247" w:lineRule="auto"/>
        <w:ind w:left="355" w:right="62" w:hanging="10"/>
        <w:jc w:val="both"/>
      </w:pPr>
      <w:r>
        <w:rPr>
          <w:rFonts w:ascii="Arial" w:eastAsia="Arial" w:hAnsi="Arial" w:cs="Arial"/>
          <w:i/>
        </w:rPr>
        <w:t xml:space="preserve">La ficha urbanística refiere el deber de ceder gratuitamente el suelo afectado por la delimitación de la zona verde. También contiene una referencia al sistema de ejecución privado por compensación, que el Ayuntamiento en su contestación refiere que </w:t>
      </w:r>
      <w:r>
        <w:rPr>
          <w:rFonts w:ascii="Arial" w:eastAsia="Arial" w:hAnsi="Arial" w:cs="Arial"/>
          <w:i/>
        </w:rPr>
        <w:t xml:space="preserve">se trata de un mero error.  </w:t>
      </w:r>
    </w:p>
    <w:p w:rsidR="00FA7413" w:rsidRDefault="00D712A8">
      <w:pPr>
        <w:spacing w:after="112" w:line="247" w:lineRule="auto"/>
        <w:ind w:left="355" w:right="62" w:hanging="10"/>
        <w:jc w:val="both"/>
      </w:pPr>
      <w:r>
        <w:rPr>
          <w:rFonts w:ascii="Arial" w:eastAsia="Arial" w:hAnsi="Arial" w:cs="Arial"/>
          <w:i/>
        </w:rPr>
        <w:t>Pero el contenido de la ficha urbanística es claro cuando señala que “cederán al frente gratuitamente como zona verde no teniendo obligación de urbanizarlo” y el total de superficie a ceder (238 m2 entre los propietarios). Adem</w:t>
      </w:r>
      <w:r>
        <w:rPr>
          <w:rFonts w:ascii="Arial" w:eastAsia="Arial" w:hAnsi="Arial" w:cs="Arial"/>
          <w:i/>
        </w:rPr>
        <w:t xml:space="preserve">ás, la Memoria Pormenorizada también justifica la delimitación de la AUA “para obtener el tramo de zona verde las dos parcelas”. </w:t>
      </w:r>
    </w:p>
    <w:p w:rsidR="00FA7413" w:rsidRDefault="00D712A8">
      <w:pPr>
        <w:spacing w:after="112" w:line="247" w:lineRule="auto"/>
        <w:ind w:left="355" w:right="62" w:hanging="10"/>
        <w:jc w:val="both"/>
      </w:pPr>
      <w:r>
        <w:rPr>
          <w:rFonts w:ascii="Arial" w:eastAsia="Arial" w:hAnsi="Arial" w:cs="Arial"/>
          <w:i/>
        </w:rPr>
        <w:t xml:space="preserve">El convenio urbanístico se refiere para el establecimiento del sistema, que de manera indicativa será el de compensación. </w:t>
      </w:r>
    </w:p>
    <w:p w:rsidR="00FA7413" w:rsidRDefault="00D712A8">
      <w:pPr>
        <w:spacing w:after="112" w:line="247" w:lineRule="auto"/>
        <w:ind w:left="355" w:right="62" w:hanging="10"/>
        <w:jc w:val="both"/>
      </w:pPr>
      <w:r>
        <w:rPr>
          <w:rFonts w:ascii="Arial" w:eastAsia="Arial" w:hAnsi="Arial" w:cs="Arial"/>
          <w:i/>
        </w:rPr>
        <w:t>Est</w:t>
      </w:r>
      <w:r>
        <w:rPr>
          <w:rFonts w:ascii="Arial" w:eastAsia="Arial" w:hAnsi="Arial" w:cs="Arial"/>
          <w:i/>
        </w:rPr>
        <w:t>a forma de regulación no es propia de una actuación aislada suelo urbano consolidado en el que no caben actuaciones asistemáticas. Si se trataba de ejecutar la zona verde era suficiente con su delimitación y la obtención del suelo preciso de conformidad co</w:t>
      </w:r>
      <w:r>
        <w:rPr>
          <w:rFonts w:ascii="Arial" w:eastAsia="Arial" w:hAnsi="Arial" w:cs="Arial"/>
          <w:i/>
        </w:rPr>
        <w:t xml:space="preserve">n lo establecido en el artículo 145 del TRLOTCENC. </w:t>
      </w:r>
    </w:p>
    <w:p w:rsidR="00FA7413" w:rsidRDefault="00D712A8">
      <w:pPr>
        <w:spacing w:after="110" w:line="249" w:lineRule="auto"/>
        <w:ind w:left="355" w:right="57" w:hanging="10"/>
        <w:jc w:val="both"/>
      </w:pPr>
      <w:r>
        <w:rPr>
          <w:rFonts w:ascii="Arial" w:eastAsia="Arial" w:hAnsi="Arial" w:cs="Arial"/>
          <w:i/>
          <w:u w:val="single" w:color="000000"/>
        </w:rPr>
        <w:t>La urbanización pendiente a cargo de los propietarios ni la afectación de la propiedad por la</w:t>
      </w:r>
      <w:r>
        <w:rPr>
          <w:rFonts w:ascii="Arial" w:eastAsia="Arial" w:hAnsi="Arial" w:cs="Arial"/>
          <w:i/>
        </w:rPr>
        <w:t xml:space="preserve"> </w:t>
      </w:r>
      <w:r>
        <w:rPr>
          <w:rFonts w:ascii="Arial" w:eastAsia="Arial" w:hAnsi="Arial" w:cs="Arial"/>
          <w:i/>
          <w:u w:val="single" w:color="000000"/>
        </w:rPr>
        <w:t>servidumbre de protección de costas justifican la delimitación de la AUA-C8, cuya finalidad era la</w:t>
      </w:r>
      <w:r>
        <w:rPr>
          <w:rFonts w:ascii="Arial" w:eastAsia="Arial" w:hAnsi="Arial" w:cs="Arial"/>
          <w:i/>
        </w:rPr>
        <w:t xml:space="preserve"> </w:t>
      </w:r>
      <w:r>
        <w:rPr>
          <w:rFonts w:ascii="Arial" w:eastAsia="Arial" w:hAnsi="Arial" w:cs="Arial"/>
          <w:i/>
          <w:u w:val="single" w:color="000000"/>
        </w:rPr>
        <w:t>establecida</w:t>
      </w:r>
      <w:r>
        <w:rPr>
          <w:rFonts w:ascii="Arial" w:eastAsia="Arial" w:hAnsi="Arial" w:cs="Arial"/>
          <w:i/>
          <w:u w:val="single" w:color="000000"/>
        </w:rPr>
        <w:t xml:space="preserve"> en la ficha, contraria al estatuto del propietario del suelo urbano consolidado</w:t>
      </w:r>
      <w:r>
        <w:rPr>
          <w:rFonts w:ascii="Arial" w:eastAsia="Arial" w:hAnsi="Arial" w:cs="Arial"/>
          <w:i/>
        </w:rPr>
        <w:t xml:space="preserve"> </w:t>
      </w:r>
      <w:r>
        <w:rPr>
          <w:rFonts w:ascii="Arial" w:eastAsia="Arial" w:hAnsi="Arial" w:cs="Arial"/>
          <w:i/>
          <w:u w:val="single" w:color="000000"/>
        </w:rPr>
        <w:t>establecida por la ley</w:t>
      </w:r>
      <w:r>
        <w:rPr>
          <w:rFonts w:ascii="Arial" w:eastAsia="Arial" w:hAnsi="Arial" w:cs="Arial"/>
          <w:i/>
        </w:rPr>
        <w:t xml:space="preserve"> </w:t>
      </w:r>
    </w:p>
    <w:p w:rsidR="00FA7413" w:rsidRDefault="00D712A8">
      <w:pPr>
        <w:spacing w:after="110" w:line="249" w:lineRule="auto"/>
        <w:ind w:left="355" w:right="57" w:hanging="10"/>
        <w:jc w:val="both"/>
      </w:pPr>
      <w:r>
        <w:rPr>
          <w:rFonts w:ascii="Arial" w:eastAsia="Arial" w:hAnsi="Arial" w:cs="Arial"/>
          <w:i/>
          <w:u w:val="single" w:color="000000"/>
        </w:rPr>
        <w:t>En este punto debe prosperar la demanda.</w:t>
      </w:r>
      <w:r>
        <w:rPr>
          <w:rFonts w:ascii="Arial" w:eastAsia="Arial" w:hAnsi="Arial" w:cs="Arial"/>
          <w:i/>
        </w:rPr>
        <w:t xml:space="preserve"> </w:t>
      </w:r>
    </w:p>
    <w:p w:rsidR="00FA7413" w:rsidRDefault="00D712A8">
      <w:pPr>
        <w:spacing w:after="98"/>
        <w:ind w:left="360"/>
      </w:pPr>
      <w:r>
        <w:rPr>
          <w:rFonts w:ascii="Arial" w:eastAsia="Arial" w:hAnsi="Arial" w:cs="Arial"/>
        </w:rPr>
        <w:t xml:space="preserve"> </w:t>
      </w:r>
    </w:p>
    <w:p w:rsidR="00FA7413" w:rsidRDefault="00D712A8">
      <w:pPr>
        <w:spacing w:after="112" w:line="247" w:lineRule="auto"/>
        <w:ind w:left="355" w:right="62" w:hanging="10"/>
        <w:jc w:val="both"/>
      </w:pPr>
      <w:r>
        <w:rPr>
          <w:rFonts w:ascii="Arial" w:eastAsia="Arial" w:hAnsi="Arial" w:cs="Arial"/>
          <w:i/>
        </w:rPr>
        <w:t xml:space="preserve">FJ 4º.- </w:t>
      </w:r>
      <w:r>
        <w:rPr>
          <w:rFonts w:ascii="Arial" w:eastAsia="Arial" w:hAnsi="Arial" w:cs="Arial"/>
          <w:i/>
        </w:rPr>
        <w:t xml:space="preserve">También reclama el recurrente el establecimiento de una indemnización por los daños y perjuicios causados, pero en el recurso no han quedado acreditada la existencia de dichos daños y perjuicios. </w:t>
      </w:r>
    </w:p>
    <w:p w:rsidR="00FA7413" w:rsidRDefault="00D712A8">
      <w:pPr>
        <w:spacing w:after="112" w:line="247" w:lineRule="auto"/>
        <w:ind w:left="355" w:right="62" w:hanging="10"/>
        <w:jc w:val="both"/>
      </w:pPr>
      <w:r>
        <w:rPr>
          <w:rFonts w:ascii="Arial" w:eastAsia="Arial" w:hAnsi="Arial" w:cs="Arial"/>
          <w:i/>
        </w:rPr>
        <w:t>Relata en la demanda que en relación al vial que contemplab</w:t>
      </w:r>
      <w:r>
        <w:rPr>
          <w:rFonts w:ascii="Arial" w:eastAsia="Arial" w:hAnsi="Arial" w:cs="Arial"/>
          <w:i/>
        </w:rPr>
        <w:t>an las NNSS de 1987, en el año 2005 se realizaron diversas reuniones con representantes del Ayuntamiento para la posible suscripción de un convenio urbanístico expropiatorio, finalmente no suscrito. Así como la presentación de un escrito denunciando la mor</w:t>
      </w:r>
      <w:r>
        <w:rPr>
          <w:rFonts w:ascii="Arial" w:eastAsia="Arial" w:hAnsi="Arial" w:cs="Arial"/>
          <w:i/>
        </w:rPr>
        <w:t>a en la expropiación de los terrenos. Pero ninguno de estos supuestos guardan relación con el acto objeto del recurso ni los hipotéticos daños y perjuicios que pudiera haber sufrido podrían derivar de su estimación, ni han sido reclamados anteriormente ant</w:t>
      </w:r>
      <w:r>
        <w:rPr>
          <w:rFonts w:ascii="Arial" w:eastAsia="Arial" w:hAnsi="Arial" w:cs="Arial"/>
          <w:i/>
        </w:rPr>
        <w:t xml:space="preserve">e la Administración, que sería la municipal y no la de la Comunidad Autónoma que es la que aprobó definitivamente el Plan General de Ordenación objeto de impugnación. </w:t>
      </w:r>
    </w:p>
    <w:p w:rsidR="00FA7413" w:rsidRDefault="00D712A8">
      <w:pPr>
        <w:spacing w:after="131"/>
        <w:ind w:left="360"/>
      </w:pPr>
      <w:r>
        <w:rPr>
          <w:rFonts w:ascii="Arial" w:eastAsia="Arial" w:hAnsi="Arial" w:cs="Arial"/>
        </w:rPr>
        <w:t xml:space="preserve"> </w:t>
      </w:r>
    </w:p>
    <w:p w:rsidR="00FA7413" w:rsidRDefault="00D712A8">
      <w:pPr>
        <w:spacing w:after="5" w:line="352" w:lineRule="auto"/>
        <w:ind w:left="355" w:right="8181" w:hanging="10"/>
        <w:jc w:val="both"/>
      </w:pPr>
      <w:r>
        <w:rPr>
          <w:noProof/>
        </w:rPr>
        <mc:AlternateContent>
          <mc:Choice Requires="wpg">
            <w:drawing>
              <wp:anchor distT="0" distB="0" distL="114300" distR="114300" simplePos="0" relativeHeight="251729920"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08647" name="Group 208647"/>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9101" name="Rectangle 9101"/>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Cód. Validación: 946JAL4TJAGYNDDM76ZM7ZAYZ | Verificación: https://candelaria.sedel</w:t>
                              </w:r>
                              <w:r>
                                <w:rPr>
                                  <w:rFonts w:ascii="Arial" w:eastAsia="Arial" w:hAnsi="Arial" w:cs="Arial"/>
                                  <w:sz w:val="12"/>
                                </w:rPr>
                                <w:t xml:space="preserve">ectronica.es/ </w:t>
                              </w:r>
                            </w:p>
                          </w:txbxContent>
                        </wps:txbx>
                        <wps:bodyPr horzOverflow="overflow" vert="horz" lIns="0" tIns="0" rIns="0" bIns="0" rtlCol="0">
                          <a:noAutofit/>
                        </wps:bodyPr>
                      </wps:wsp>
                      <wps:wsp>
                        <wps:cNvPr id="9102" name="Rectangle 9102"/>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69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8647" style="width:12.7031pt;height:275.586pt;position:absolute;mso-position-horizontal-relative:page;mso-position-horizontal:absolute;margin-left:682.278pt;mso-position-vertical-relative:page;margin-top:536.334pt;" coordsize="1613,34999">
                <v:rect id="Rectangle 9101"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9102"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69 de 180 </w:t>
                        </w:r>
                      </w:p>
                    </w:txbxContent>
                  </v:textbox>
                </v:rect>
                <w10:wrap type="square"/>
              </v:group>
            </w:pict>
          </mc:Fallback>
        </mc:AlternateContent>
      </w:r>
      <w:r>
        <w:rPr>
          <w:rFonts w:ascii="Arial" w:eastAsia="Arial" w:hAnsi="Arial" w:cs="Arial"/>
          <w:i/>
        </w:rPr>
        <w:t xml:space="preserve">(…) </w:t>
      </w:r>
      <w:r>
        <w:rPr>
          <w:rFonts w:ascii="Arial" w:eastAsia="Arial" w:hAnsi="Arial" w:cs="Arial"/>
          <w:b/>
          <w:i/>
        </w:rPr>
        <w:t xml:space="preserve">Fallamos: </w:t>
      </w:r>
    </w:p>
    <w:p w:rsidR="00FA7413" w:rsidRDefault="00D712A8">
      <w:pPr>
        <w:spacing w:after="112" w:line="247" w:lineRule="auto"/>
        <w:ind w:left="355" w:right="62" w:hanging="10"/>
        <w:jc w:val="both"/>
      </w:pPr>
      <w:r>
        <w:rPr>
          <w:rFonts w:ascii="Arial" w:eastAsia="Arial" w:hAnsi="Arial" w:cs="Arial"/>
          <w:i/>
        </w:rPr>
        <w:t>Estimar, en parte, el recurso interpuesto en nombre de D. Felipe González Santos, declarando no conforme a Derecho el acuerdo impugnado de la COTMAC de 20 de julio de 2006 hecho público en el Boletín Oficial de Canarias de 17 de mayo de 2007, respecto a la</w:t>
      </w:r>
      <w:r>
        <w:rPr>
          <w:rFonts w:ascii="Arial" w:eastAsia="Arial" w:hAnsi="Arial" w:cs="Arial"/>
          <w:i/>
        </w:rPr>
        <w:t xml:space="preserve"> delimitación de la AUA C8. Sin Costas. </w:t>
      </w:r>
    </w:p>
    <w:p w:rsidR="00FA7413" w:rsidRDefault="00D712A8">
      <w:pPr>
        <w:spacing w:after="98"/>
        <w:ind w:left="1068"/>
      </w:pPr>
      <w:r>
        <w:rPr>
          <w:rFonts w:ascii="Arial" w:eastAsia="Arial" w:hAnsi="Arial" w:cs="Arial"/>
        </w:rPr>
        <w:t xml:space="preserve"> </w:t>
      </w:r>
    </w:p>
    <w:p w:rsidR="00FA7413" w:rsidRDefault="00D712A8">
      <w:pPr>
        <w:spacing w:after="112" w:line="248" w:lineRule="auto"/>
        <w:ind w:left="345" w:right="62" w:firstLine="708"/>
        <w:jc w:val="both"/>
      </w:pPr>
      <w:r>
        <w:rPr>
          <w:rFonts w:ascii="Arial" w:eastAsia="Arial" w:hAnsi="Arial" w:cs="Arial"/>
          <w:b/>
        </w:rPr>
        <w:t>Cuarto. - Consta en el expediente informe técnico de la Arquitecta de la Oficina Técnica de 14 de septiembre de 2020 sobre la ejecución de la presente sentencia con la elaboración de la nueva ficha del PGO para cu</w:t>
      </w:r>
      <w:r>
        <w:rPr>
          <w:rFonts w:ascii="Arial" w:eastAsia="Arial" w:hAnsi="Arial" w:cs="Arial"/>
          <w:b/>
        </w:rPr>
        <w:t>mplir con dicha sentencia: INFORME</w:t>
      </w:r>
      <w:r>
        <w:rPr>
          <w:rFonts w:ascii="Arial" w:eastAsia="Arial" w:hAnsi="Arial" w:cs="Arial"/>
        </w:rPr>
        <w:t xml:space="preserve"> </w:t>
      </w:r>
    </w:p>
    <w:p w:rsidR="00FA7413" w:rsidRDefault="00D712A8">
      <w:pPr>
        <w:spacing w:after="109" w:line="248" w:lineRule="auto"/>
        <w:ind w:left="355" w:right="64" w:hanging="10"/>
        <w:jc w:val="both"/>
      </w:pPr>
      <w:r>
        <w:rPr>
          <w:rFonts w:ascii="Arial" w:eastAsia="Arial" w:hAnsi="Arial" w:cs="Arial"/>
        </w:rPr>
        <w:t xml:space="preserve">Visto el expediente antedicho, Nayra Guzmán Hernández, arquitecta municipal, emite el siguiente informe: </w: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spacing w:after="11" w:line="248" w:lineRule="auto"/>
        <w:ind w:left="355" w:right="62" w:hanging="10"/>
        <w:jc w:val="both"/>
      </w:pPr>
      <w:r>
        <w:rPr>
          <w:rFonts w:ascii="Arial" w:eastAsia="Arial" w:hAnsi="Arial" w:cs="Arial"/>
          <w:b/>
        </w:rPr>
        <w:t xml:space="preserve">ANTECEDENTES: </w:t>
      </w:r>
    </w:p>
    <w:p w:rsidR="00FA7413" w:rsidRDefault="00D712A8">
      <w:pPr>
        <w:spacing w:after="12"/>
        <w:ind w:left="360"/>
      </w:pPr>
      <w:r>
        <w:rPr>
          <w:rFonts w:ascii="Arial" w:eastAsia="Arial" w:hAnsi="Arial" w:cs="Arial"/>
          <w:b/>
        </w:rPr>
        <w:t xml:space="preserve"> </w:t>
      </w:r>
    </w:p>
    <w:p w:rsidR="00FA7413" w:rsidRDefault="00D712A8">
      <w:pPr>
        <w:numPr>
          <w:ilvl w:val="0"/>
          <w:numId w:val="16"/>
        </w:numPr>
        <w:spacing w:after="109" w:line="248" w:lineRule="auto"/>
        <w:ind w:right="64" w:hanging="360"/>
        <w:jc w:val="both"/>
      </w:pPr>
      <w:r>
        <w:rPr>
          <w:rFonts w:ascii="Arial" w:eastAsia="Arial" w:hAnsi="Arial" w:cs="Arial"/>
        </w:rPr>
        <w:t xml:space="preserve">El suelo objeto del presente informe conforme al </w:t>
      </w:r>
      <w:r>
        <w:rPr>
          <w:rFonts w:ascii="Arial" w:eastAsia="Arial" w:hAnsi="Arial" w:cs="Arial"/>
          <w:b/>
        </w:rPr>
        <w:t xml:space="preserve">PLAN GENERAL DE ORDENACIÓN, </w:t>
      </w:r>
      <w:r>
        <w:rPr>
          <w:rFonts w:ascii="Arial" w:eastAsia="Arial" w:hAnsi="Arial" w:cs="Arial"/>
        </w:rPr>
        <w:t>planeamiento municipal en vigor, con publicaciones en B.O.C. de fecha 10 de mayo de 2007 y B.O.P. de fecha 17 de mayo de 2007  y Modificaciones Puntuales, aprobadas definitivamente por acuerdo del Ayuntamiento Pleno, en sesiones ordinarias de fecha 26 de m</w:t>
      </w:r>
      <w:r>
        <w:rPr>
          <w:rFonts w:ascii="Arial" w:eastAsia="Arial" w:hAnsi="Arial" w:cs="Arial"/>
        </w:rPr>
        <w:t>arzo de 2009 y 29 de diciembre de 2011 y publicada en el BOP de Santa Cruz de Tenerife de fecha 17 de junio de 2009 y 3 de febrero de 2012, respectivamente, se encuentra</w:t>
      </w:r>
      <w:r>
        <w:rPr>
          <w:rFonts w:ascii="Arial" w:eastAsia="Arial" w:hAnsi="Arial" w:cs="Arial"/>
          <w:b/>
        </w:rPr>
        <w:t xml:space="preserve"> </w:t>
      </w:r>
      <w:r>
        <w:rPr>
          <w:rFonts w:ascii="Arial" w:eastAsia="Arial" w:hAnsi="Arial" w:cs="Arial"/>
        </w:rPr>
        <w:t xml:space="preserve">clasificada, categorizada y calificada como: </w:t>
      </w:r>
      <w:r>
        <w:rPr>
          <w:rFonts w:ascii="Times New Roman" w:eastAsia="Times New Roman" w:hAnsi="Times New Roman" w:cs="Times New Roman"/>
          <w:sz w:val="24"/>
        </w:rPr>
        <w:t xml:space="preserve"> </w:t>
      </w:r>
    </w:p>
    <w:p w:rsidR="00FA7413" w:rsidRDefault="00D712A8">
      <w:pPr>
        <w:spacing w:after="10" w:line="248" w:lineRule="auto"/>
        <w:ind w:left="628" w:right="62" w:hanging="283"/>
        <w:jc w:val="both"/>
      </w:pPr>
      <w:r>
        <w:rPr>
          <w:rFonts w:ascii="Arial" w:eastAsia="Arial" w:hAnsi="Arial" w:cs="Arial"/>
          <w:b/>
        </w:rPr>
        <w:t xml:space="preserve">    Suelo Urbano consolidado. Incluido </w:t>
      </w:r>
      <w:r>
        <w:rPr>
          <w:rFonts w:ascii="Arial" w:eastAsia="Arial" w:hAnsi="Arial" w:cs="Arial"/>
          <w:b/>
        </w:rPr>
        <w:t xml:space="preserve">en la actuación urbanística aislada AUA-C8 Punta del Rey. Edificación Cerrada 2 plantas. Afectada por la servidumbre de protección del Dominio Público Marítimo Terrestre. Uso residencial plurifamiliar </w:t>
      </w:r>
    </w:p>
    <w:p w:rsidR="00FA7413" w:rsidRDefault="00D712A8">
      <w:pPr>
        <w:spacing w:after="0"/>
        <w:ind w:left="360"/>
      </w:pPr>
      <w:r>
        <w:rPr>
          <w:noProof/>
        </w:rPr>
        <mc:AlternateContent>
          <mc:Choice Requires="wpg">
            <w:drawing>
              <wp:anchor distT="0" distB="0" distL="114300" distR="114300" simplePos="0" relativeHeight="251730944" behindDoc="0" locked="0" layoutInCell="1" allowOverlap="1">
                <wp:simplePos x="0" y="0"/>
                <wp:positionH relativeFrom="page">
                  <wp:posOffset>8664935</wp:posOffset>
                </wp:positionH>
                <wp:positionV relativeFrom="page">
                  <wp:posOffset>6811442</wp:posOffset>
                </wp:positionV>
                <wp:extent cx="161330" cy="3499942"/>
                <wp:effectExtent l="0" t="0" r="0" b="0"/>
                <wp:wrapTopAndBottom/>
                <wp:docPr id="208181" name="Group 208181"/>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9146" name="Rectangle 9146"/>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Cód. Validación: 946JAL4TJAGYNDDM76ZM7ZAYZ | Verifi</w:t>
                              </w:r>
                              <w:r>
                                <w:rPr>
                                  <w:rFonts w:ascii="Arial" w:eastAsia="Arial" w:hAnsi="Arial" w:cs="Arial"/>
                                  <w:sz w:val="12"/>
                                </w:rPr>
                                <w:t xml:space="preserve">cación: https://candelaria.sedelectronica.es/ </w:t>
                              </w:r>
                            </w:p>
                          </w:txbxContent>
                        </wps:txbx>
                        <wps:bodyPr horzOverflow="overflow" vert="horz" lIns="0" tIns="0" rIns="0" bIns="0" rtlCol="0">
                          <a:noAutofit/>
                        </wps:bodyPr>
                      </wps:wsp>
                      <wps:wsp>
                        <wps:cNvPr id="9147" name="Rectangle 9147"/>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70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8181" style="width:12.7031pt;height:275.586pt;position:absolute;mso-position-horizontal-relative:page;mso-position-horizontal:absolute;margin-left:682.278pt;mso-position-vertical-relative:page;margin-top:536.334pt;" coordsize="1613,34999">
                <v:rect id="Rectangle 9146"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9147"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70 de 180 </w:t>
                        </w:r>
                      </w:p>
                    </w:txbxContent>
                  </v:textbox>
                </v:rect>
                <w10:wrap type="topAndBottom"/>
              </v:group>
            </w:pict>
          </mc:Fallback>
        </mc:AlternateContent>
      </w:r>
      <w:r>
        <w:rPr>
          <w:rFonts w:ascii="Times New Roman" w:eastAsia="Times New Roman" w:hAnsi="Times New Roman" w:cs="Times New Roman"/>
          <w:b/>
          <w:sz w:val="24"/>
        </w:rPr>
        <w:t xml:space="preserve"> </w:t>
      </w:r>
    </w:p>
    <w:p w:rsidR="00FA7413" w:rsidRDefault="00D712A8">
      <w:pPr>
        <w:spacing w:after="52"/>
        <w:ind w:right="1375"/>
        <w:jc w:val="right"/>
      </w:pPr>
      <w:r>
        <w:rPr>
          <w:noProof/>
        </w:rPr>
        <w:drawing>
          <wp:inline distT="0" distB="0" distL="0" distR="0">
            <wp:extent cx="4308482" cy="3619487"/>
            <wp:effectExtent l="0" t="0" r="0" b="0"/>
            <wp:docPr id="9143" name="Picture 9143"/>
            <wp:cNvGraphicFramePr/>
            <a:graphic xmlns:a="http://schemas.openxmlformats.org/drawingml/2006/main">
              <a:graphicData uri="http://schemas.openxmlformats.org/drawingml/2006/picture">
                <pic:pic xmlns:pic="http://schemas.openxmlformats.org/drawingml/2006/picture">
                  <pic:nvPicPr>
                    <pic:cNvPr id="9143" name="Picture 9143"/>
                    <pic:cNvPicPr/>
                  </pic:nvPicPr>
                  <pic:blipFill>
                    <a:blip r:embed="rId17"/>
                    <a:stretch>
                      <a:fillRect/>
                    </a:stretch>
                  </pic:blipFill>
                  <pic:spPr>
                    <a:xfrm>
                      <a:off x="0" y="0"/>
                      <a:ext cx="4308482" cy="3619487"/>
                    </a:xfrm>
                    <a:prstGeom prst="rect">
                      <a:avLst/>
                    </a:prstGeom>
                  </pic:spPr>
                </pic:pic>
              </a:graphicData>
            </a:graphic>
          </wp:inline>
        </w:drawing>
      </w:r>
      <w:r>
        <w:rPr>
          <w:rFonts w:ascii="Arial" w:eastAsia="Arial" w:hAnsi="Arial" w:cs="Arial"/>
        </w:rPr>
        <w:t xml:space="preserve"> </w:t>
      </w:r>
    </w:p>
    <w:p w:rsidR="00FA7413" w:rsidRDefault="00D712A8">
      <w:pPr>
        <w:spacing w:after="98"/>
        <w:ind w:left="346"/>
        <w:jc w:val="center"/>
      </w:pPr>
      <w:r>
        <w:rPr>
          <w:rFonts w:ascii="Arial" w:eastAsia="Arial" w:hAnsi="Arial" w:cs="Arial"/>
        </w:rPr>
        <w:t xml:space="preserve"> </w:t>
      </w:r>
    </w:p>
    <w:p w:rsidR="00FA7413" w:rsidRDefault="00D712A8">
      <w:pPr>
        <w:spacing w:after="0"/>
        <w:ind w:left="346"/>
        <w:jc w:val="center"/>
      </w:pPr>
      <w:r>
        <w:rPr>
          <w:rFonts w:ascii="Arial" w:eastAsia="Arial" w:hAnsi="Arial" w:cs="Arial"/>
        </w:rPr>
        <w:t xml:space="preserve"> </w:t>
      </w:r>
    </w:p>
    <w:p w:rsidR="00FA7413" w:rsidRDefault="00D712A8">
      <w:pPr>
        <w:spacing w:after="0"/>
        <w:ind w:right="860"/>
        <w:jc w:val="right"/>
      </w:pPr>
      <w:r>
        <w:rPr>
          <w:noProof/>
        </w:rPr>
        <w:drawing>
          <wp:inline distT="0" distB="0" distL="0" distR="0">
            <wp:extent cx="4974347" cy="5997366"/>
            <wp:effectExtent l="0" t="0" r="0" b="0"/>
            <wp:docPr id="9190" name="Picture 9190"/>
            <wp:cNvGraphicFramePr/>
            <a:graphic xmlns:a="http://schemas.openxmlformats.org/drawingml/2006/main">
              <a:graphicData uri="http://schemas.openxmlformats.org/drawingml/2006/picture">
                <pic:pic xmlns:pic="http://schemas.openxmlformats.org/drawingml/2006/picture">
                  <pic:nvPicPr>
                    <pic:cNvPr id="9190" name="Picture 9190"/>
                    <pic:cNvPicPr/>
                  </pic:nvPicPr>
                  <pic:blipFill>
                    <a:blip r:embed="rId18"/>
                    <a:stretch>
                      <a:fillRect/>
                    </a:stretch>
                  </pic:blipFill>
                  <pic:spPr>
                    <a:xfrm>
                      <a:off x="0" y="0"/>
                      <a:ext cx="4974347" cy="5997366"/>
                    </a:xfrm>
                    <a:prstGeom prst="rect">
                      <a:avLst/>
                    </a:prstGeom>
                  </pic:spPr>
                </pic:pic>
              </a:graphicData>
            </a:graphic>
          </wp:inline>
        </w:drawing>
      </w:r>
      <w:r>
        <w:rPr>
          <w:rFonts w:ascii="Times New Roman" w:eastAsia="Times New Roman" w:hAnsi="Times New Roman" w:cs="Times New Roman"/>
          <w:sz w:val="24"/>
        </w:rPr>
        <w:t xml:space="preserve"> </w: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numPr>
          <w:ilvl w:val="0"/>
          <w:numId w:val="16"/>
        </w:numPr>
        <w:spacing w:after="0" w:line="248" w:lineRule="auto"/>
        <w:ind w:right="64" w:hanging="360"/>
        <w:jc w:val="both"/>
      </w:pPr>
      <w:r>
        <w:rPr>
          <w:rFonts w:ascii="Arial" w:eastAsia="Arial" w:hAnsi="Arial" w:cs="Arial"/>
        </w:rPr>
        <w:t>El Jurado Provincial de Expropiación Forzosa de 23 de marzo de 2009, fijó la cantidad de 45.983,08 € como justiprecio que el Ayuntamiento de Candelaria abonó al recurrente por la expropiación de parte de la finca de su propiedad, 100,51 m2 que el Plan Gene</w:t>
      </w:r>
      <w:r>
        <w:rPr>
          <w:rFonts w:ascii="Arial" w:eastAsia="Arial" w:hAnsi="Arial" w:cs="Arial"/>
        </w:rPr>
        <w:t xml:space="preserve">ral de Ordenación calificó como Zona verde. </w:t>
      </w:r>
    </w:p>
    <w:p w:rsidR="00FA7413" w:rsidRDefault="00D712A8">
      <w:pPr>
        <w:spacing w:after="12"/>
        <w:ind w:left="1080"/>
      </w:pPr>
      <w:r>
        <w:rPr>
          <w:noProof/>
        </w:rPr>
        <mc:AlternateContent>
          <mc:Choice Requires="wpg">
            <w:drawing>
              <wp:anchor distT="0" distB="0" distL="114300" distR="114300" simplePos="0" relativeHeight="251731968"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09559" name="Group 209559"/>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9193" name="Rectangle 9193"/>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9194" name="Rectangle 9194"/>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71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9559" style="width:12.7031pt;height:275.586pt;position:absolute;mso-position-horizontal-relative:page;mso-position-horizontal:absolute;margin-left:682.278pt;mso-position-vertical-relative:page;margin-top:536.334pt;" coordsize="1613,34999">
                <v:rect id="Rectangle 9193"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9194"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71 de 180 </w:t>
                        </w:r>
                      </w:p>
                    </w:txbxContent>
                  </v:textbox>
                </v:rect>
                <w10:wrap type="square"/>
              </v:group>
            </w:pict>
          </mc:Fallback>
        </mc:AlternateContent>
      </w:r>
      <w:r>
        <w:rPr>
          <w:rFonts w:ascii="Arial" w:eastAsia="Arial" w:hAnsi="Arial" w:cs="Arial"/>
        </w:rPr>
        <w:t xml:space="preserve"> </w:t>
      </w:r>
    </w:p>
    <w:p w:rsidR="00FA7413" w:rsidRDefault="00D712A8">
      <w:pPr>
        <w:numPr>
          <w:ilvl w:val="0"/>
          <w:numId w:val="16"/>
        </w:numPr>
        <w:spacing w:after="3" w:line="241" w:lineRule="auto"/>
        <w:ind w:right="64" w:hanging="360"/>
        <w:jc w:val="both"/>
      </w:pPr>
      <w:r>
        <w:rPr>
          <w:rFonts w:ascii="Arial" w:eastAsia="Arial" w:hAnsi="Arial" w:cs="Arial"/>
        </w:rPr>
        <w:t xml:space="preserve">Con fecha 8 </w:t>
      </w:r>
      <w:r>
        <w:rPr>
          <w:rFonts w:ascii="Arial" w:eastAsia="Arial" w:hAnsi="Arial" w:cs="Arial"/>
        </w:rPr>
        <w:t xml:space="preserve">de julio de 2011, se dicta sentencia por parte del Tribunal superior de Justicia de Canarias, Sala Contencioso Administrativo, Sala Segunda, en el Procedimiento Ordinario nº258/2007, en el que se falla </w:t>
      </w:r>
      <w:r>
        <w:rPr>
          <w:rFonts w:ascii="Arial" w:eastAsia="Arial" w:hAnsi="Arial" w:cs="Arial"/>
          <w:b/>
        </w:rPr>
        <w:t>anular la delimitación de la AUA-C8 Punta del Rey</w:t>
      </w:r>
      <w:r>
        <w:rPr>
          <w:rFonts w:ascii="Times New Roman" w:eastAsia="Times New Roman" w:hAnsi="Times New Roman" w:cs="Times New Roman"/>
          <w:sz w:val="24"/>
        </w:rPr>
        <w:t xml:space="preserve"> </w:t>
      </w:r>
      <w:r>
        <w:rPr>
          <w:rFonts w:ascii="Arial" w:eastAsia="Arial" w:hAnsi="Arial" w:cs="Arial"/>
          <w:b/>
        </w:rPr>
        <w:t>INFO</w:t>
      </w:r>
      <w:r>
        <w:rPr>
          <w:rFonts w:ascii="Arial" w:eastAsia="Arial" w:hAnsi="Arial" w:cs="Arial"/>
          <w:b/>
        </w:rPr>
        <w:t xml:space="preserve">RME: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 xml:space="preserve">El suelo objeto del presente informe, pertenece a dos parcelas catastrales con dos propietarios distintos. Referencias Catastrales: </w:t>
      </w:r>
      <w:r>
        <w:rPr>
          <w:rFonts w:ascii="Arial" w:eastAsia="Arial" w:hAnsi="Arial" w:cs="Arial"/>
          <w:b/>
        </w:rPr>
        <w:t xml:space="preserve">Parcela 1: </w:t>
      </w:r>
      <w:r>
        <w:rPr>
          <w:rFonts w:ascii="Arial" w:eastAsia="Arial" w:hAnsi="Arial" w:cs="Arial"/>
        </w:rPr>
        <w:t xml:space="preserve">6697305CS6369N0001QJ y </w:t>
      </w:r>
      <w:r>
        <w:rPr>
          <w:rFonts w:ascii="Arial" w:eastAsia="Arial" w:hAnsi="Arial" w:cs="Arial"/>
          <w:b/>
        </w:rPr>
        <w:t xml:space="preserve">Parcela 2:  </w:t>
      </w:r>
      <w:r>
        <w:rPr>
          <w:rFonts w:ascii="Arial" w:eastAsia="Arial" w:hAnsi="Arial" w:cs="Arial"/>
          <w:color w:val="333333"/>
        </w:rPr>
        <w:t xml:space="preserve">6697307CS6369N0001LJ. La sentencia afecta a la totalidad de la actuación urbanística. </w:t>
      </w:r>
      <w:r>
        <w:rPr>
          <w:rFonts w:ascii="Times New Roman" w:eastAsia="Times New Roman" w:hAnsi="Times New Roman" w:cs="Times New Roman"/>
          <w:sz w:val="24"/>
        </w:rPr>
        <w:t xml:space="preserve"> </w: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spacing w:after="0"/>
        <w:ind w:left="344"/>
        <w:jc w:val="center"/>
      </w:pPr>
      <w:r>
        <w:rPr>
          <w:noProof/>
        </w:rPr>
        <w:drawing>
          <wp:inline distT="0" distB="0" distL="0" distR="0">
            <wp:extent cx="3649980" cy="2369820"/>
            <wp:effectExtent l="0" t="0" r="0" b="0"/>
            <wp:docPr id="9241" name="Picture 9241"/>
            <wp:cNvGraphicFramePr/>
            <a:graphic xmlns:a="http://schemas.openxmlformats.org/drawingml/2006/main">
              <a:graphicData uri="http://schemas.openxmlformats.org/drawingml/2006/picture">
                <pic:pic xmlns:pic="http://schemas.openxmlformats.org/drawingml/2006/picture">
                  <pic:nvPicPr>
                    <pic:cNvPr id="9241" name="Picture 9241"/>
                    <pic:cNvPicPr/>
                  </pic:nvPicPr>
                  <pic:blipFill>
                    <a:blip r:embed="rId19"/>
                    <a:stretch>
                      <a:fillRect/>
                    </a:stretch>
                  </pic:blipFill>
                  <pic:spPr>
                    <a:xfrm>
                      <a:off x="0" y="0"/>
                      <a:ext cx="3649980" cy="2369820"/>
                    </a:xfrm>
                    <a:prstGeom prst="rect">
                      <a:avLst/>
                    </a:prstGeom>
                  </pic:spPr>
                </pic:pic>
              </a:graphicData>
            </a:graphic>
          </wp:inline>
        </w:drawing>
      </w:r>
      <w:r>
        <w:rPr>
          <w:rFonts w:ascii="Times New Roman" w:eastAsia="Times New Roman" w:hAnsi="Times New Roman" w:cs="Times New Roman"/>
          <w:sz w:val="24"/>
        </w:rPr>
        <w:t xml:space="preserve"> </w: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spacing w:after="0" w:line="248" w:lineRule="auto"/>
        <w:ind w:left="355" w:right="64" w:hanging="10"/>
        <w:jc w:val="both"/>
      </w:pPr>
      <w:r>
        <w:rPr>
          <w:rFonts w:ascii="Arial" w:eastAsia="Arial" w:hAnsi="Arial" w:cs="Arial"/>
        </w:rPr>
        <w:t xml:space="preserve">Al quedar anulada la actuación urbanística aislada, el suelo quedaría clasificado, categorizado y calificado de la siguiente manera: </w:t>
      </w:r>
    </w:p>
    <w:p w:rsidR="00FA7413" w:rsidRDefault="00D712A8">
      <w:pPr>
        <w:spacing w:after="0"/>
        <w:ind w:left="360"/>
      </w:pPr>
      <w:r>
        <w:rPr>
          <w:noProof/>
        </w:rPr>
        <mc:AlternateContent>
          <mc:Choice Requires="wpg">
            <w:drawing>
              <wp:anchor distT="0" distB="0" distL="114300" distR="114300" simplePos="0" relativeHeight="251732992" behindDoc="0" locked="0" layoutInCell="1" allowOverlap="1">
                <wp:simplePos x="0" y="0"/>
                <wp:positionH relativeFrom="page">
                  <wp:posOffset>8664935</wp:posOffset>
                </wp:positionH>
                <wp:positionV relativeFrom="page">
                  <wp:posOffset>6811442</wp:posOffset>
                </wp:positionV>
                <wp:extent cx="161330" cy="3499942"/>
                <wp:effectExtent l="0" t="0" r="0" b="0"/>
                <wp:wrapTopAndBottom/>
                <wp:docPr id="208512" name="Group 208512"/>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9246" name="Rectangle 9246"/>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9247" name="Rectangle 9247"/>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72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8512" style="width:12.7031pt;height:275.586pt;position:absolute;mso-position-horizontal-relative:page;mso-position-horizontal:absolute;margin-left:682.278pt;mso-position-vertical-relative:page;margin-top:536.334pt;" coordsize="1613,34999">
                <v:rect id="Rectangle 9246"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9247"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72 de 180 </w:t>
                        </w:r>
                      </w:p>
                    </w:txbxContent>
                  </v:textbox>
                </v:rect>
                <w10:wrap type="topAndBottom"/>
              </v:group>
            </w:pict>
          </mc:Fallback>
        </mc:AlternateContent>
      </w:r>
      <w:r>
        <w:rPr>
          <w:rFonts w:ascii="Arial" w:eastAsia="Arial" w:hAnsi="Arial" w:cs="Arial"/>
        </w:rPr>
        <w:t xml:space="preserve"> </w:t>
      </w:r>
    </w:p>
    <w:p w:rsidR="00FA7413" w:rsidRDefault="00D712A8">
      <w:pPr>
        <w:spacing w:after="0" w:line="248" w:lineRule="auto"/>
        <w:ind w:left="355" w:right="62" w:hanging="10"/>
        <w:jc w:val="both"/>
      </w:pPr>
      <w:r>
        <w:rPr>
          <w:rFonts w:ascii="Arial" w:eastAsia="Arial" w:hAnsi="Arial" w:cs="Arial"/>
          <w:b/>
        </w:rPr>
        <w:t>Suelo Urbano consolidado. Edificación Cerrada 2 plantas. Afe</w:t>
      </w:r>
      <w:r>
        <w:rPr>
          <w:rFonts w:ascii="Arial" w:eastAsia="Arial" w:hAnsi="Arial" w:cs="Arial"/>
          <w:b/>
        </w:rPr>
        <w:t xml:space="preserve">ctada por la servidumbre de protección del Dominio Público Marítimo Terrestre. Uso residencial plurifamiliar. </w:t>
      </w:r>
    </w:p>
    <w:p w:rsidR="00FA7413" w:rsidRDefault="00D712A8">
      <w:pPr>
        <w:spacing w:after="0"/>
        <w:ind w:left="360"/>
      </w:pPr>
      <w:r>
        <w:rPr>
          <w:rFonts w:ascii="Arial" w:eastAsia="Arial" w:hAnsi="Arial" w:cs="Arial"/>
          <w:b/>
        </w:rPr>
        <w:t xml:space="preserve"> </w:t>
      </w:r>
    </w:p>
    <w:p w:rsidR="00FA7413" w:rsidRDefault="00D712A8">
      <w:pPr>
        <w:spacing w:after="0"/>
        <w:ind w:left="344"/>
        <w:jc w:val="center"/>
      </w:pPr>
      <w:r>
        <w:rPr>
          <w:noProof/>
        </w:rPr>
        <w:drawing>
          <wp:inline distT="0" distB="0" distL="0" distR="0">
            <wp:extent cx="3002370" cy="3358726"/>
            <wp:effectExtent l="0" t="0" r="0" b="0"/>
            <wp:docPr id="9243" name="Picture 9243"/>
            <wp:cNvGraphicFramePr/>
            <a:graphic xmlns:a="http://schemas.openxmlformats.org/drawingml/2006/main">
              <a:graphicData uri="http://schemas.openxmlformats.org/drawingml/2006/picture">
                <pic:pic xmlns:pic="http://schemas.openxmlformats.org/drawingml/2006/picture">
                  <pic:nvPicPr>
                    <pic:cNvPr id="9243" name="Picture 9243"/>
                    <pic:cNvPicPr/>
                  </pic:nvPicPr>
                  <pic:blipFill>
                    <a:blip r:embed="rId20"/>
                    <a:stretch>
                      <a:fillRect/>
                    </a:stretch>
                  </pic:blipFill>
                  <pic:spPr>
                    <a:xfrm>
                      <a:off x="0" y="0"/>
                      <a:ext cx="3002370" cy="3358726"/>
                    </a:xfrm>
                    <a:prstGeom prst="rect">
                      <a:avLst/>
                    </a:prstGeom>
                  </pic:spPr>
                </pic:pic>
              </a:graphicData>
            </a:graphic>
          </wp:inline>
        </w:drawing>
      </w:r>
      <w:r>
        <w:rPr>
          <w:rFonts w:ascii="Times New Roman" w:eastAsia="Times New Roman" w:hAnsi="Times New Roman" w:cs="Times New Roman"/>
          <w:sz w:val="24"/>
        </w:rPr>
        <w:t xml:space="preserve"> </w:t>
      </w:r>
    </w:p>
    <w:p w:rsidR="00FA7413" w:rsidRDefault="00D712A8">
      <w:pPr>
        <w:spacing w:after="0"/>
        <w:ind w:left="360"/>
      </w:pPr>
      <w:r>
        <w:rPr>
          <w:noProof/>
        </w:rPr>
        <mc:AlternateContent>
          <mc:Choice Requires="wpg">
            <w:drawing>
              <wp:anchor distT="0" distB="0" distL="114300" distR="114300" simplePos="0" relativeHeight="251734016" behindDoc="0" locked="0" layoutInCell="1" allowOverlap="1">
                <wp:simplePos x="0" y="0"/>
                <wp:positionH relativeFrom="page">
                  <wp:posOffset>8664935</wp:posOffset>
                </wp:positionH>
                <wp:positionV relativeFrom="page">
                  <wp:posOffset>6811442</wp:posOffset>
                </wp:positionV>
                <wp:extent cx="161330" cy="3499942"/>
                <wp:effectExtent l="0" t="0" r="0" b="0"/>
                <wp:wrapTopAndBottom/>
                <wp:docPr id="208745" name="Group 208745"/>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9274" name="Rectangle 9274"/>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9275" name="Rectangle 9275"/>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Documento firmado electrónicamente de</w:t>
                              </w:r>
                              <w:r>
                                <w:rPr>
                                  <w:rFonts w:ascii="Arial" w:eastAsia="Arial" w:hAnsi="Arial" w:cs="Arial"/>
                                  <w:sz w:val="12"/>
                                </w:rPr>
                                <w:t xml:space="preserve">sde la plataforma esPublico Gestiona | Página 73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8745" style="width:12.7031pt;height:275.586pt;position:absolute;mso-position-horizontal-relative:page;mso-position-horizontal:absolute;margin-left:682.278pt;mso-position-vertical-relative:page;margin-top:536.334pt;" coordsize="1613,34999">
                <v:rect id="Rectangle 9274"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9275"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73 de 180 </w:t>
                        </w:r>
                      </w:p>
                    </w:txbxContent>
                  </v:textbox>
                </v:rect>
                <w10:wrap type="topAndBottom"/>
              </v:group>
            </w:pict>
          </mc:Fallback>
        </mc:AlternateContent>
      </w:r>
      <w:r>
        <w:rPr>
          <w:rFonts w:ascii="Times New Roman" w:eastAsia="Times New Roman" w:hAnsi="Times New Roman" w:cs="Times New Roman"/>
          <w:sz w:val="24"/>
        </w:rPr>
        <w:t xml:space="preserve"> </w:t>
      </w:r>
    </w:p>
    <w:p w:rsidR="00FA7413" w:rsidRDefault="00D712A8">
      <w:pPr>
        <w:spacing w:after="0"/>
        <w:ind w:right="423"/>
        <w:jc w:val="right"/>
      </w:pPr>
      <w:r>
        <w:rPr>
          <w:noProof/>
        </w:rPr>
        <w:drawing>
          <wp:inline distT="0" distB="0" distL="0" distR="0">
            <wp:extent cx="5812614" cy="7513084"/>
            <wp:effectExtent l="0" t="0" r="0" b="0"/>
            <wp:docPr id="9271" name="Picture 9271"/>
            <wp:cNvGraphicFramePr/>
            <a:graphic xmlns:a="http://schemas.openxmlformats.org/drawingml/2006/main">
              <a:graphicData uri="http://schemas.openxmlformats.org/drawingml/2006/picture">
                <pic:pic xmlns:pic="http://schemas.openxmlformats.org/drawingml/2006/picture">
                  <pic:nvPicPr>
                    <pic:cNvPr id="9271" name="Picture 9271"/>
                    <pic:cNvPicPr/>
                  </pic:nvPicPr>
                  <pic:blipFill>
                    <a:blip r:embed="rId21"/>
                    <a:stretch>
                      <a:fillRect/>
                    </a:stretch>
                  </pic:blipFill>
                  <pic:spPr>
                    <a:xfrm>
                      <a:off x="0" y="0"/>
                      <a:ext cx="5812614" cy="7513084"/>
                    </a:xfrm>
                    <a:prstGeom prst="rect">
                      <a:avLst/>
                    </a:prstGeom>
                  </pic:spPr>
                </pic:pic>
              </a:graphicData>
            </a:graphic>
          </wp:inline>
        </w:drawing>
      </w:r>
      <w:r>
        <w:rPr>
          <w:rFonts w:ascii="Times New Roman" w:eastAsia="Times New Roman" w:hAnsi="Times New Roman" w:cs="Times New Roman"/>
          <w:sz w:val="24"/>
        </w:rPr>
        <w:t xml:space="preserve"> </w:t>
      </w:r>
    </w:p>
    <w:p w:rsidR="00FA7413" w:rsidRDefault="00D712A8">
      <w:pPr>
        <w:spacing w:after="112" w:line="248" w:lineRule="auto"/>
        <w:ind w:left="345" w:right="62" w:firstLine="708"/>
        <w:jc w:val="both"/>
      </w:pPr>
      <w:r>
        <w:rPr>
          <w:rFonts w:ascii="Arial" w:eastAsia="Arial" w:hAnsi="Arial" w:cs="Arial"/>
          <w:b/>
        </w:rPr>
        <w:t xml:space="preserve">Quinto. -  Consta en el expediente oficio del Gobierno de Canarias al Ayuntamiento de Candelaria por registro de entrada de 7 de junio de 2021 que transcrito literalmente dice: </w:t>
      </w:r>
    </w:p>
    <w:p w:rsidR="00FA7413" w:rsidRDefault="00D712A8">
      <w:pPr>
        <w:spacing w:after="112" w:line="247" w:lineRule="auto"/>
        <w:ind w:left="345" w:right="62" w:firstLine="708"/>
        <w:jc w:val="both"/>
      </w:pPr>
      <w:r>
        <w:rPr>
          <w:rFonts w:ascii="Arial" w:eastAsia="Arial" w:hAnsi="Arial" w:cs="Arial"/>
          <w:i/>
        </w:rPr>
        <w:t>“(…) En los casos de las sentencias de los expedientes número 2328/2020 y 2329/2020 – que se refieren a procedimientos en los que los recursos interpuestos fueron estimados por considerarse que el acto impugnado era contrario a derecho y se anulan dos dete</w:t>
      </w:r>
      <w:r>
        <w:rPr>
          <w:rFonts w:ascii="Arial" w:eastAsia="Arial" w:hAnsi="Arial" w:cs="Arial"/>
          <w:i/>
        </w:rPr>
        <w:t>rminaciones urbanísticas –al contener una resolución meramente anulatoria de las determinaciones del plan, pero sin reconocimiento de una situación jurídica individualizada por la parte demandante, su ejecución se agota con la publicación en el diario ofic</w:t>
      </w:r>
      <w:r>
        <w:rPr>
          <w:rFonts w:ascii="Arial" w:eastAsia="Arial" w:hAnsi="Arial" w:cs="Arial"/>
          <w:i/>
        </w:rPr>
        <w:t>ial del fallo anulatorio por parte del órgano que lo aprobó, de conformidad con el artículo 107.2, de relación con el 72.2 de la ley 29/1998, de 13 de julio, Reguladora de la Jurisdicción Contenciosa-administrativa; así como con el estampillado de una dili</w:t>
      </w:r>
      <w:r>
        <w:rPr>
          <w:rFonts w:ascii="Arial" w:eastAsia="Arial" w:hAnsi="Arial" w:cs="Arial"/>
          <w:i/>
        </w:rPr>
        <w:t xml:space="preserve">gencia para hacer constar el fallo anulatorio en el ejemplar del plan general de ordenación que consta en las dependencias autonómicas. </w:t>
      </w:r>
    </w:p>
    <w:p w:rsidR="00FA7413" w:rsidRDefault="00D712A8">
      <w:pPr>
        <w:spacing w:after="112" w:line="247" w:lineRule="auto"/>
        <w:ind w:left="345" w:right="62" w:firstLine="708"/>
        <w:jc w:val="both"/>
      </w:pPr>
      <w:r>
        <w:rPr>
          <w:rFonts w:ascii="Arial" w:eastAsia="Arial" w:hAnsi="Arial" w:cs="Arial"/>
          <w:i/>
        </w:rPr>
        <w:t xml:space="preserve">Cuando en los acuerdos de la COTMAC de toma de conocimiento de las sentencias firmes recaídas en estos dos últimos RCA </w:t>
      </w:r>
      <w:r>
        <w:rPr>
          <w:rFonts w:ascii="Arial" w:eastAsia="Arial" w:hAnsi="Arial" w:cs="Arial"/>
          <w:i/>
        </w:rPr>
        <w:t>se insta al Ayuntamiento de Candelaria a que lleve a puro y debido efecto la sentencia y practique lo que exija el cumplimiento de las declaraciones contenidas en el fallo, tal exigencia se agota, también, con el estampillado de una diligencia para hacer c</w:t>
      </w:r>
      <w:r>
        <w:rPr>
          <w:rFonts w:ascii="Arial" w:eastAsia="Arial" w:hAnsi="Arial" w:cs="Arial"/>
          <w:i/>
        </w:rPr>
        <w:t xml:space="preserve">onstar el fallo anulatorio en el ejemplar del plan general de ordenación que conste en las dependencias municipales por parte de la Secretaría de la Corporación local o funcionario autorizado. </w:t>
      </w:r>
    </w:p>
    <w:p w:rsidR="00FA7413" w:rsidRDefault="00D712A8">
      <w:pPr>
        <w:spacing w:after="112" w:line="247" w:lineRule="auto"/>
        <w:ind w:left="345" w:right="62" w:firstLine="708"/>
        <w:jc w:val="both"/>
      </w:pPr>
      <w:r>
        <w:rPr>
          <w:rFonts w:ascii="Arial" w:eastAsia="Arial" w:hAnsi="Arial" w:cs="Arial"/>
          <w:i/>
        </w:rPr>
        <w:t xml:space="preserve">Los acuerdos de la COTMAC referidos a tales sentencias fueron </w:t>
      </w:r>
      <w:r>
        <w:rPr>
          <w:rFonts w:ascii="Arial" w:eastAsia="Arial" w:hAnsi="Arial" w:cs="Arial"/>
          <w:i/>
        </w:rPr>
        <w:t xml:space="preserve">publicados en el Boletín Oficial de Canarias en la forma indicada anteriormente, habiéndose procedido al estampillado de la diligencia anulatoria en el ejemplar del plan general que consta en estas dependencias. (…) ” </w:t>
      </w:r>
    </w:p>
    <w:p w:rsidR="00FA7413" w:rsidRDefault="00D712A8">
      <w:pPr>
        <w:spacing w:after="98"/>
        <w:ind w:left="1068"/>
      </w:pPr>
      <w:r>
        <w:rPr>
          <w:noProof/>
        </w:rPr>
        <mc:AlternateContent>
          <mc:Choice Requires="wpg">
            <w:drawing>
              <wp:anchor distT="0" distB="0" distL="114300" distR="114300" simplePos="0" relativeHeight="251735040"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09362" name="Group 209362"/>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9395" name="Rectangle 9395"/>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Cód. Validación: 946JAL4TJAGYNDDM7</w:t>
                              </w:r>
                              <w:r>
                                <w:rPr>
                                  <w:rFonts w:ascii="Arial" w:eastAsia="Arial" w:hAnsi="Arial" w:cs="Arial"/>
                                  <w:sz w:val="12"/>
                                </w:rPr>
                                <w:t xml:space="preserve">6ZM7ZAYZ | Verificación: https://candelaria.sedelectronica.es/ </w:t>
                              </w:r>
                            </w:p>
                          </w:txbxContent>
                        </wps:txbx>
                        <wps:bodyPr horzOverflow="overflow" vert="horz" lIns="0" tIns="0" rIns="0" bIns="0" rtlCol="0">
                          <a:noAutofit/>
                        </wps:bodyPr>
                      </wps:wsp>
                      <wps:wsp>
                        <wps:cNvPr id="9396" name="Rectangle 9396"/>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74 de 180 </w:t>
                              </w:r>
                            </w:p>
                          </w:txbxContent>
                        </wps:txbx>
                        <wps:bodyPr horzOverflow="overflow" vert="horz" lIns="0" tIns="0" rIns="0" bIns="0" rtlCol="0">
                          <a:noAutofit/>
                        </wps:bodyPr>
                      </wps:wsp>
                    </wpg:wgp>
                  </a:graphicData>
                </a:graphic>
              </wp:anchor>
            </w:drawing>
          </mc:Choice>
          <mc:Fallback xmlns:a="http://schemas.openxmlformats.org/drawingml/2006/main">
            <w:pict>
              <v:group id="Group 209362" style="width:12.7031pt;height:275.586pt;position:absolute;mso-position-horizontal-relative:page;mso-position-horizontal:absolute;margin-left:682.278pt;mso-position-vertical-relative:page;margin-top:536.334pt;" coordsize="1613,34999">
                <v:rect id="Rectangle 9395"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9396"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74 de 180 </w:t>
                        </w:r>
                      </w:p>
                    </w:txbxContent>
                  </v:textbox>
                </v:rect>
                <w10:wrap type="square"/>
              </v:group>
            </w:pict>
          </mc:Fallback>
        </mc:AlternateContent>
      </w:r>
      <w:r>
        <w:rPr>
          <w:rFonts w:ascii="Arial" w:eastAsia="Arial" w:hAnsi="Arial" w:cs="Arial"/>
          <w:b/>
        </w:rPr>
        <w:t xml:space="preserve"> </w:t>
      </w:r>
    </w:p>
    <w:p w:rsidR="00FA7413" w:rsidRDefault="00D712A8">
      <w:pPr>
        <w:spacing w:after="112" w:line="248" w:lineRule="auto"/>
        <w:ind w:left="3208" w:right="62" w:hanging="10"/>
        <w:jc w:val="both"/>
      </w:pPr>
      <w:r>
        <w:rPr>
          <w:rFonts w:ascii="Arial" w:eastAsia="Arial" w:hAnsi="Arial" w:cs="Arial"/>
          <w:b/>
        </w:rPr>
        <w:t xml:space="preserve">Fundamentos de derecho   </w:t>
      </w:r>
    </w:p>
    <w:p w:rsidR="00FA7413" w:rsidRDefault="00D712A8">
      <w:pPr>
        <w:spacing w:after="112" w:line="247" w:lineRule="auto"/>
        <w:ind w:left="355" w:right="62" w:hanging="10"/>
        <w:jc w:val="both"/>
      </w:pPr>
      <w:r>
        <w:rPr>
          <w:rFonts w:ascii="Arial" w:eastAsia="Arial" w:hAnsi="Arial" w:cs="Arial"/>
        </w:rPr>
        <w:t xml:space="preserve"> </w:t>
      </w:r>
      <w:r>
        <w:rPr>
          <w:rFonts w:ascii="Arial" w:eastAsia="Arial" w:hAnsi="Arial" w:cs="Arial"/>
          <w:b/>
        </w:rPr>
        <w:t>Primero. -</w:t>
      </w:r>
      <w:r>
        <w:rPr>
          <w:rFonts w:ascii="Arial" w:eastAsia="Arial" w:hAnsi="Arial" w:cs="Arial"/>
        </w:rPr>
        <w:t xml:space="preserve"> </w:t>
      </w:r>
      <w:r>
        <w:rPr>
          <w:rFonts w:ascii="Arial" w:eastAsia="Arial" w:hAnsi="Arial" w:cs="Arial"/>
        </w:rPr>
        <w:t xml:space="preserve">Es de aplicación lo dispuesto en el artículo 118 de la constitución que establece: </w:t>
      </w:r>
      <w:r>
        <w:rPr>
          <w:rFonts w:ascii="Arial" w:eastAsia="Arial" w:hAnsi="Arial" w:cs="Arial"/>
          <w:i/>
        </w:rPr>
        <w:t xml:space="preserve">Es obligado cumplir las sentencias y demás resoluciones firmes de los Jueces y Tribunales, así como prestar la colaboración requerida por éstos en el curso del proceso y en </w:t>
      </w:r>
      <w:r>
        <w:rPr>
          <w:rFonts w:ascii="Arial" w:eastAsia="Arial" w:hAnsi="Arial" w:cs="Arial"/>
          <w:i/>
        </w:rPr>
        <w:t>la ejecución de lo resuelto</w:t>
      </w:r>
      <w:r>
        <w:rPr>
          <w:rFonts w:ascii="Arial" w:eastAsia="Arial" w:hAnsi="Arial" w:cs="Arial"/>
        </w:rPr>
        <w:t xml:space="preserve">. </w:t>
      </w:r>
    </w:p>
    <w:p w:rsidR="00FA7413" w:rsidRDefault="00D712A8">
      <w:pPr>
        <w:spacing w:after="109" w:line="248" w:lineRule="auto"/>
        <w:ind w:left="345" w:right="64" w:firstLine="708"/>
        <w:jc w:val="both"/>
      </w:pPr>
      <w:r>
        <w:rPr>
          <w:rFonts w:ascii="Arial" w:eastAsia="Arial" w:hAnsi="Arial" w:cs="Arial"/>
          <w:b/>
        </w:rPr>
        <w:t>Segundo. -</w:t>
      </w:r>
      <w:r>
        <w:rPr>
          <w:rFonts w:ascii="Arial" w:eastAsia="Arial" w:hAnsi="Arial" w:cs="Arial"/>
        </w:rPr>
        <w:t xml:space="preserve"> Es de aplicación lo dispuesto en el artículo 103.2 de la Ley 29/1998, de 13 de julio, de la Jurisdicción Contencioso-Administrativa que establece: </w:t>
      </w:r>
      <w:r>
        <w:rPr>
          <w:rFonts w:ascii="Arial" w:eastAsia="Arial" w:hAnsi="Arial" w:cs="Arial"/>
          <w:i/>
        </w:rPr>
        <w:t>2. Las partes están obligadas a cumplir las sentencias en la forma y</w:t>
      </w:r>
      <w:r>
        <w:rPr>
          <w:rFonts w:ascii="Arial" w:eastAsia="Arial" w:hAnsi="Arial" w:cs="Arial"/>
          <w:i/>
        </w:rPr>
        <w:t xml:space="preserve"> términos que en éstas se consignen.</w:t>
      </w:r>
      <w:r>
        <w:rPr>
          <w:rFonts w:ascii="Arial" w:eastAsia="Arial" w:hAnsi="Arial" w:cs="Arial"/>
        </w:rPr>
        <w:t xml:space="preserve"> </w:t>
      </w:r>
    </w:p>
    <w:p w:rsidR="00FA7413" w:rsidRDefault="00D712A8">
      <w:pPr>
        <w:spacing w:after="100"/>
        <w:ind w:left="3198"/>
      </w:pPr>
      <w:r>
        <w:rPr>
          <w:rFonts w:ascii="Arial" w:eastAsia="Arial" w:hAnsi="Arial" w:cs="Arial"/>
          <w:b/>
        </w:rPr>
        <w:t xml:space="preserve"> </w:t>
      </w:r>
    </w:p>
    <w:p w:rsidR="00FA7413" w:rsidRDefault="00D712A8">
      <w:pPr>
        <w:spacing w:after="98"/>
        <w:ind w:left="3198"/>
      </w:pPr>
      <w:r>
        <w:rPr>
          <w:rFonts w:ascii="Arial" w:eastAsia="Arial" w:hAnsi="Arial" w:cs="Arial"/>
          <w:b/>
        </w:rPr>
        <w:t xml:space="preserve"> </w:t>
      </w:r>
    </w:p>
    <w:p w:rsidR="00FA7413" w:rsidRDefault="00D712A8">
      <w:pPr>
        <w:spacing w:after="112" w:line="248" w:lineRule="auto"/>
        <w:ind w:left="3208" w:right="62" w:hanging="10"/>
        <w:jc w:val="both"/>
      </w:pPr>
      <w:r>
        <w:rPr>
          <w:rFonts w:ascii="Arial" w:eastAsia="Arial" w:hAnsi="Arial" w:cs="Arial"/>
          <w:b/>
        </w:rPr>
        <w:t xml:space="preserve">Propuesta de Resolución: </w:t>
      </w:r>
    </w:p>
    <w:p w:rsidR="00FA7413" w:rsidRDefault="00D712A8">
      <w:pPr>
        <w:spacing w:after="112" w:line="248" w:lineRule="auto"/>
        <w:ind w:left="1789" w:right="62" w:hanging="10"/>
        <w:jc w:val="both"/>
      </w:pPr>
      <w:r>
        <w:rPr>
          <w:rFonts w:ascii="Arial" w:eastAsia="Arial" w:hAnsi="Arial" w:cs="Arial"/>
          <w:b/>
        </w:rPr>
        <w:t xml:space="preserve">Por lo expuesto se eleva al Pleno la siguiente propuesta: </w:t>
      </w:r>
    </w:p>
    <w:p w:rsidR="00FA7413" w:rsidRDefault="00D712A8">
      <w:pPr>
        <w:spacing w:after="109" w:line="248" w:lineRule="auto"/>
        <w:ind w:left="345" w:right="64" w:firstLine="708"/>
        <w:jc w:val="both"/>
      </w:pPr>
      <w:r>
        <w:rPr>
          <w:rFonts w:ascii="Arial" w:eastAsia="Arial" w:hAnsi="Arial" w:cs="Arial"/>
          <w:b/>
        </w:rPr>
        <w:t>Primero. -</w:t>
      </w:r>
      <w:r>
        <w:rPr>
          <w:rFonts w:ascii="Arial" w:eastAsia="Arial" w:hAnsi="Arial" w:cs="Arial"/>
        </w:rPr>
        <w:t xml:space="preserve"> Tomar conocimiento de la Sentencia de 8 de julio de 2011. Procedimiento ordinario 258/2007. Sala de lo Contencioso-</w:t>
      </w:r>
      <w:r>
        <w:rPr>
          <w:rFonts w:ascii="Arial" w:eastAsia="Arial" w:hAnsi="Arial" w:cs="Arial"/>
        </w:rPr>
        <w:t>Administrativo del Tribunal Superior de Justicia de Canarias. Sección Segunda. Santa Cruz de Tenerife, que estima el recurso interpuesto por Don Felipe González Santos contra el acuerdo de la Comisión de Ordenación del Territorio y Medio Ambiente de Canari</w:t>
      </w:r>
      <w:r>
        <w:rPr>
          <w:rFonts w:ascii="Arial" w:eastAsia="Arial" w:hAnsi="Arial" w:cs="Arial"/>
        </w:rPr>
        <w:t>as (COTMAC) del Gobierno de Canarias de 20 de julio de 2006 y de corrección de errores de 10 de noviembre de 2006 por el que se aprobó definitivamente el Plan General de Ordenación Urbana del municipio de Candelaria (BOC de 8 de mayo y 10 de mayo de 2007).</w:t>
      </w:r>
      <w:r>
        <w:rPr>
          <w:rFonts w:ascii="Arial" w:eastAsia="Arial" w:hAnsi="Arial" w:cs="Arial"/>
        </w:rPr>
        <w:t xml:space="preserve"> </w:t>
      </w:r>
    </w:p>
    <w:p w:rsidR="00FA7413" w:rsidRDefault="00D712A8">
      <w:pPr>
        <w:spacing w:after="110" w:line="249" w:lineRule="auto"/>
        <w:ind w:left="10" w:right="63" w:hanging="10"/>
        <w:jc w:val="right"/>
      </w:pPr>
      <w:r>
        <w:rPr>
          <w:rFonts w:ascii="Arial" w:eastAsia="Arial" w:hAnsi="Arial" w:cs="Arial"/>
          <w:b/>
        </w:rPr>
        <w:t>Segundo. -</w:t>
      </w:r>
      <w:r>
        <w:rPr>
          <w:rFonts w:ascii="Arial" w:eastAsia="Arial" w:hAnsi="Arial" w:cs="Arial"/>
        </w:rPr>
        <w:t xml:space="preserve"> Dar traslado del presente acuerdo a la Secretaría General y a la Oficina Técnica Municipal del Ayuntamiento de Candelaria a los efectos de que se identifique la documentación afectada por el fallo de la sentencia, a fin de estampillar la corre</w:t>
      </w:r>
      <w:r>
        <w:rPr>
          <w:rFonts w:ascii="Arial" w:eastAsia="Arial" w:hAnsi="Arial" w:cs="Arial"/>
        </w:rPr>
        <w:t xml:space="preserve">spondiente diligencia de nulidad tanto en formato papel como el formato electrónico, de conformidad con lo dispuesto en el artículo 104 de la Ley de la Jurisdicción Contencioso-Administrativa. </w:t>
      </w:r>
    </w:p>
    <w:p w:rsidR="00FA7413" w:rsidRDefault="00D712A8">
      <w:pPr>
        <w:spacing w:after="109" w:line="248" w:lineRule="auto"/>
        <w:ind w:left="345" w:right="64" w:firstLine="708"/>
        <w:jc w:val="both"/>
      </w:pPr>
      <w:r>
        <w:rPr>
          <w:noProof/>
        </w:rPr>
        <mc:AlternateContent>
          <mc:Choice Requires="wpg">
            <w:drawing>
              <wp:anchor distT="0" distB="0" distL="114300" distR="114300" simplePos="0" relativeHeight="251736064" behindDoc="0" locked="0" layoutInCell="1" allowOverlap="1">
                <wp:simplePos x="0" y="0"/>
                <wp:positionH relativeFrom="page">
                  <wp:posOffset>8664935</wp:posOffset>
                </wp:positionH>
                <wp:positionV relativeFrom="page">
                  <wp:posOffset>6811442</wp:posOffset>
                </wp:positionV>
                <wp:extent cx="161330" cy="3499942"/>
                <wp:effectExtent l="0" t="0" r="0" b="0"/>
                <wp:wrapTopAndBottom/>
                <wp:docPr id="211240" name="Group 211240"/>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9463" name="Rectangle 9463"/>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w:t>
                              </w:r>
                              <w:r>
                                <w:rPr>
                                  <w:rFonts w:ascii="Arial" w:eastAsia="Arial" w:hAnsi="Arial" w:cs="Arial"/>
                                  <w:sz w:val="12"/>
                                </w:rPr>
                                <w:t xml:space="preserve">https://candelaria.sedelectronica.es/ </w:t>
                              </w:r>
                            </w:p>
                          </w:txbxContent>
                        </wps:txbx>
                        <wps:bodyPr horzOverflow="overflow" vert="horz" lIns="0" tIns="0" rIns="0" bIns="0" rtlCol="0">
                          <a:noAutofit/>
                        </wps:bodyPr>
                      </wps:wsp>
                      <wps:wsp>
                        <wps:cNvPr id="9464" name="Rectangle 9464"/>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75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1240" style="width:12.7031pt;height:275.586pt;position:absolute;mso-position-horizontal-relative:page;mso-position-horizontal:absolute;margin-left:682.278pt;mso-position-vertical-relative:page;margin-top:536.334pt;" coordsize="1613,34999">
                <v:rect id="Rectangle 9463"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9464"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75 de 180 </w:t>
                        </w:r>
                      </w:p>
                    </w:txbxContent>
                  </v:textbox>
                </v:rect>
                <w10:wrap type="topAndBottom"/>
              </v:group>
            </w:pict>
          </mc:Fallback>
        </mc:AlternateContent>
      </w:r>
      <w:r>
        <w:rPr>
          <w:rFonts w:ascii="Arial" w:eastAsia="Arial" w:hAnsi="Arial" w:cs="Arial"/>
          <w:b/>
        </w:rPr>
        <w:t>Tercero. -</w:t>
      </w:r>
      <w:r>
        <w:rPr>
          <w:rFonts w:ascii="Arial" w:eastAsia="Arial" w:hAnsi="Arial" w:cs="Arial"/>
        </w:rPr>
        <w:t xml:space="preserve"> Adicionar un Anexo en la documentación del PGO de Candelaria vigente aprobado por la COTMAC ((BOC de 8 de mayo</w:t>
      </w:r>
      <w:r>
        <w:rPr>
          <w:rFonts w:ascii="Arial" w:eastAsia="Arial" w:hAnsi="Arial" w:cs="Arial"/>
        </w:rPr>
        <w:t xml:space="preserve"> y 10 de mayo de 2007) en el que se incluirá el presente acuerdo una vez publicado a los efectos de dar por cumplida la sentencia firme antedicha de conformidad con el informe técnico emitido por la Arquitecta municipal de 14 de septiembre de 2020. </w:t>
      </w:r>
    </w:p>
    <w:p w:rsidR="00FA7413" w:rsidRDefault="00D712A8">
      <w:pPr>
        <w:spacing w:after="109" w:line="248" w:lineRule="auto"/>
        <w:ind w:left="345" w:right="64" w:firstLine="708"/>
        <w:jc w:val="both"/>
      </w:pPr>
      <w:r>
        <w:rPr>
          <w:rFonts w:ascii="Arial" w:eastAsia="Arial" w:hAnsi="Arial" w:cs="Arial"/>
          <w:b/>
        </w:rPr>
        <w:t>Cuarto</w:t>
      </w:r>
      <w:r>
        <w:rPr>
          <w:rFonts w:ascii="Arial" w:eastAsia="Arial" w:hAnsi="Arial" w:cs="Arial"/>
          <w:b/>
        </w:rPr>
        <w:t xml:space="preserve">. - </w:t>
      </w:r>
      <w:r>
        <w:rPr>
          <w:rFonts w:ascii="Arial" w:eastAsia="Arial" w:hAnsi="Arial" w:cs="Arial"/>
        </w:rPr>
        <w:t xml:space="preserve">El presente acuerdo será publicado en el Boletín Oficial de Canarias y en el Boletín Oficial de la Provincia. </w:t>
      </w:r>
    </w:p>
    <w:p w:rsidR="00FA7413" w:rsidRDefault="00D712A8">
      <w:pPr>
        <w:spacing w:after="98"/>
        <w:ind w:left="1068"/>
      </w:pPr>
      <w:r>
        <w:rPr>
          <w:rFonts w:ascii="Arial" w:eastAsia="Arial" w:hAnsi="Arial" w:cs="Arial"/>
          <w:b/>
        </w:rPr>
        <w:t xml:space="preserve"> </w:t>
      </w:r>
    </w:p>
    <w:p w:rsidR="00FA7413" w:rsidRDefault="00D712A8">
      <w:pPr>
        <w:spacing w:after="112" w:line="248" w:lineRule="auto"/>
        <w:ind w:left="355" w:right="62" w:hanging="10"/>
        <w:jc w:val="both"/>
      </w:pPr>
      <w:r>
        <w:rPr>
          <w:rFonts w:ascii="Arial" w:eastAsia="Arial" w:hAnsi="Arial" w:cs="Arial"/>
          <w:b/>
        </w:rPr>
        <w:t>ANEXO: EJECUCIÓN DE SENTENCIA DE LA SALA DE LO CONTENCIOSO-ADMINISTRATIVO DEL TRIBUNAL SUPERIOR DE JUSTICIA DE CANARIAS, SECCIÓN SEGUNDA, D</w:t>
      </w:r>
      <w:r>
        <w:rPr>
          <w:rFonts w:ascii="Arial" w:eastAsia="Arial" w:hAnsi="Arial" w:cs="Arial"/>
          <w:b/>
        </w:rPr>
        <w:t xml:space="preserve">E 8 DE JULIO DE 2011. PROCEDIMIENTO ORDINARIO 258/2007.  </w:t>
      </w:r>
    </w:p>
    <w:p w:rsidR="00FA7413" w:rsidRDefault="00D712A8">
      <w:pPr>
        <w:spacing w:after="100"/>
        <w:ind w:left="2487"/>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r>
        <w:br w:type="page"/>
      </w:r>
    </w:p>
    <w:p w:rsidR="00FA7413" w:rsidRDefault="00D712A8">
      <w:pPr>
        <w:spacing w:after="73"/>
        <w:ind w:right="422"/>
        <w:jc w:val="right"/>
      </w:pPr>
      <w:r>
        <w:rPr>
          <w:noProof/>
        </w:rPr>
        <mc:AlternateContent>
          <mc:Choice Requires="wpg">
            <w:drawing>
              <wp:anchor distT="0" distB="0" distL="114300" distR="114300" simplePos="0" relativeHeight="251737088"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0442" name="Group 210442"/>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9492" name="Rectangle 9492"/>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9493" name="Rectangle 9493"/>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76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0442" style="width:12.7031pt;height:275.586pt;position:absolute;mso-position-horizontal-relative:page;mso-position-horizontal:absolute;margin-left:682.278pt;mso-position-vertical-relative:page;margin-top:536.334pt;" coordsize="1613,34999">
                <v:rect id="Rectangle 9492"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9493"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76 de 180 </w:t>
                        </w:r>
                      </w:p>
                    </w:txbxContent>
                  </v:textbox>
                </v:rect>
                <w10:wrap type="square"/>
              </v:group>
            </w:pict>
          </mc:Fallback>
        </mc:AlternateContent>
      </w:r>
      <w:r>
        <w:rPr>
          <w:noProof/>
        </w:rPr>
        <w:drawing>
          <wp:inline distT="0" distB="0" distL="0" distR="0">
            <wp:extent cx="5812614" cy="7513083"/>
            <wp:effectExtent l="0" t="0" r="0" b="0"/>
            <wp:docPr id="9489" name="Picture 9489"/>
            <wp:cNvGraphicFramePr/>
            <a:graphic xmlns:a="http://schemas.openxmlformats.org/drawingml/2006/main">
              <a:graphicData uri="http://schemas.openxmlformats.org/drawingml/2006/picture">
                <pic:pic xmlns:pic="http://schemas.openxmlformats.org/drawingml/2006/picture">
                  <pic:nvPicPr>
                    <pic:cNvPr id="9489" name="Picture 9489"/>
                    <pic:cNvPicPr/>
                  </pic:nvPicPr>
                  <pic:blipFill>
                    <a:blip r:embed="rId21"/>
                    <a:stretch>
                      <a:fillRect/>
                    </a:stretch>
                  </pic:blipFill>
                  <pic:spPr>
                    <a:xfrm>
                      <a:off x="0" y="0"/>
                      <a:ext cx="5812614" cy="7513083"/>
                    </a:xfrm>
                    <a:prstGeom prst="rect">
                      <a:avLst/>
                    </a:prstGeom>
                  </pic:spPr>
                </pic:pic>
              </a:graphicData>
            </a:graphic>
          </wp:inline>
        </w:drawing>
      </w:r>
      <w:r>
        <w:rPr>
          <w:rFonts w:ascii="Arial" w:eastAsia="Arial" w:hAnsi="Arial" w:cs="Arial"/>
        </w:rPr>
        <w:t xml:space="preserve"> </w:t>
      </w:r>
    </w:p>
    <w:p w:rsidR="00FA7413" w:rsidRDefault="00D712A8">
      <w:pPr>
        <w:spacing w:after="11" w:line="248" w:lineRule="auto"/>
        <w:ind w:left="355" w:right="62" w:hanging="10"/>
        <w:jc w:val="both"/>
      </w:pP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 xml:space="preserve">   Consta en el expediente propuesta de la Alcaldesa-Presidenta, de fecha 15 de junio de 2021, cuyo tenor literal es el siguiente: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Times New Roman" w:eastAsia="Times New Roman" w:hAnsi="Times New Roman" w:cs="Times New Roman"/>
          <w:b/>
          <w:sz w:val="24"/>
        </w:rPr>
        <w:t xml:space="preserve">  </w:t>
      </w:r>
    </w:p>
    <w:p w:rsidR="00FA7413" w:rsidRDefault="00D712A8">
      <w:pPr>
        <w:spacing w:after="142"/>
        <w:ind w:left="360"/>
      </w:pP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p>
    <w:p w:rsidR="00FA7413" w:rsidRDefault="00D712A8">
      <w:pPr>
        <w:spacing w:after="112" w:line="248" w:lineRule="auto"/>
        <w:ind w:left="1078" w:right="62" w:hanging="10"/>
        <w:jc w:val="both"/>
      </w:pPr>
      <w:r>
        <w:rPr>
          <w:rFonts w:ascii="Arial" w:eastAsia="Arial" w:hAnsi="Arial" w:cs="Arial"/>
          <w:b/>
        </w:rPr>
        <w:t xml:space="preserve">      “PROPUE</w:t>
      </w:r>
      <w:r>
        <w:rPr>
          <w:rFonts w:ascii="Arial" w:eastAsia="Arial" w:hAnsi="Arial" w:cs="Arial"/>
          <w:b/>
        </w:rPr>
        <w:t xml:space="preserve">STA DE LA ALCALDÍA AL PLENO DE LA CORPORACIÓN </w:t>
      </w:r>
    </w:p>
    <w:p w:rsidR="00FA7413" w:rsidRDefault="00D712A8">
      <w:pPr>
        <w:spacing w:after="112" w:line="248" w:lineRule="auto"/>
        <w:ind w:left="345" w:right="62" w:firstLine="708"/>
        <w:jc w:val="both"/>
      </w:pPr>
      <w:r>
        <w:rPr>
          <w:rFonts w:ascii="Arial" w:eastAsia="Arial" w:hAnsi="Arial" w:cs="Arial"/>
          <w:b/>
        </w:rPr>
        <w:t xml:space="preserve">Visto el informe jurídico de Secretaría General de fecha 15 de junio de 2021 que transcrito literalmente dice: </w:t>
      </w:r>
    </w:p>
    <w:p w:rsidR="00FA7413" w:rsidRDefault="00D712A8">
      <w:pPr>
        <w:spacing w:after="117"/>
        <w:ind w:right="660"/>
        <w:jc w:val="center"/>
      </w:pPr>
      <w:r>
        <w:rPr>
          <w:rFonts w:ascii="Arial" w:eastAsia="Arial" w:hAnsi="Arial" w:cs="Arial"/>
          <w:b/>
        </w:rPr>
        <w:t xml:space="preserve">                         </w:t>
      </w:r>
    </w:p>
    <w:p w:rsidR="00FA7413" w:rsidRDefault="00D712A8">
      <w:pPr>
        <w:spacing w:after="112" w:line="247" w:lineRule="auto"/>
        <w:ind w:left="1078" w:right="62" w:hanging="10"/>
        <w:jc w:val="both"/>
      </w:pPr>
      <w:r>
        <w:rPr>
          <w:rFonts w:ascii="Arial" w:eastAsia="Arial" w:hAnsi="Arial" w:cs="Arial"/>
          <w:i/>
        </w:rPr>
        <w:t xml:space="preserve">“Visto el expediente antedicho se emite el siguiente informe: </w:t>
      </w:r>
    </w:p>
    <w:p w:rsidR="00FA7413" w:rsidRDefault="00D712A8">
      <w:pPr>
        <w:spacing w:after="112" w:line="247" w:lineRule="auto"/>
        <w:ind w:left="3208" w:right="62" w:hanging="10"/>
        <w:jc w:val="both"/>
      </w:pPr>
      <w:r>
        <w:rPr>
          <w:rFonts w:ascii="Arial" w:eastAsia="Arial" w:hAnsi="Arial" w:cs="Arial"/>
          <w:i/>
        </w:rPr>
        <w:t xml:space="preserve">Antecedentes de hecho   </w:t>
      </w:r>
    </w:p>
    <w:p w:rsidR="00FA7413" w:rsidRDefault="00D712A8">
      <w:pPr>
        <w:spacing w:after="112" w:line="247" w:lineRule="auto"/>
        <w:ind w:left="345" w:right="62" w:firstLine="708"/>
        <w:jc w:val="both"/>
      </w:pPr>
      <w:r>
        <w:rPr>
          <w:rFonts w:ascii="Arial" w:eastAsia="Arial" w:hAnsi="Arial" w:cs="Arial"/>
          <w:i/>
        </w:rPr>
        <w:t xml:space="preserve"> Primero.- Por Acuerdo de la Comisión de Ordenación del Territorio y Medio Ambiente de Canarias (COTMAC) del Gobierno de Canarias de 20 de julio de 2006 y de corrección de errores de 10 de noviembre de 2006 se aprobó definitivament</w:t>
      </w:r>
      <w:r>
        <w:rPr>
          <w:rFonts w:ascii="Arial" w:eastAsia="Arial" w:hAnsi="Arial" w:cs="Arial"/>
          <w:i/>
        </w:rPr>
        <w:t xml:space="preserve">e el Plan General de Ordenación Urbana del municipio de Candelaria (BOC  de 8 de mayo y 10 de mayo de 2007) (BOP 17 de mayo de 2007). </w:t>
      </w:r>
    </w:p>
    <w:p w:rsidR="00FA7413" w:rsidRDefault="00D712A8">
      <w:pPr>
        <w:spacing w:after="112" w:line="247" w:lineRule="auto"/>
        <w:ind w:left="345" w:right="62" w:firstLine="708"/>
        <w:jc w:val="both"/>
      </w:pPr>
      <w:r>
        <w:rPr>
          <w:rFonts w:ascii="Arial" w:eastAsia="Arial" w:hAnsi="Arial" w:cs="Arial"/>
          <w:i/>
        </w:rPr>
        <w:t xml:space="preserve">Segundo.- Que se interpuso recurso contencioso-administrativo contra el acuerdo mencionado en el punto primero.  </w:t>
      </w:r>
    </w:p>
    <w:p w:rsidR="00FA7413" w:rsidRDefault="00D712A8">
      <w:pPr>
        <w:spacing w:after="112" w:line="247" w:lineRule="auto"/>
        <w:ind w:left="355" w:right="62" w:hanging="10"/>
        <w:jc w:val="both"/>
      </w:pPr>
      <w:r>
        <w:rPr>
          <w:rFonts w:ascii="Arial" w:eastAsia="Arial" w:hAnsi="Arial" w:cs="Arial"/>
          <w:i/>
        </w:rPr>
        <w:t xml:space="preserve"> Tercer</w:t>
      </w:r>
      <w:r>
        <w:rPr>
          <w:rFonts w:ascii="Arial" w:eastAsia="Arial" w:hAnsi="Arial" w:cs="Arial"/>
          <w:i/>
        </w:rPr>
        <w:t xml:space="preserve">o.- Que consta en el expediente sentencia que ha remitido Servicios Generales a la Secretaría General con fecha 26 de febrero de 2020: </w:t>
      </w:r>
    </w:p>
    <w:p w:rsidR="00FA7413" w:rsidRDefault="00D712A8">
      <w:pPr>
        <w:spacing w:after="120" w:line="241" w:lineRule="auto"/>
        <w:ind w:left="345"/>
      </w:pPr>
      <w:r>
        <w:rPr>
          <w:noProof/>
        </w:rPr>
        <mc:AlternateContent>
          <mc:Choice Requires="wpg">
            <w:drawing>
              <wp:anchor distT="0" distB="0" distL="114300" distR="114300" simplePos="0" relativeHeight="251738112"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0762" name="Group 210762"/>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9634" name="Rectangle 9634"/>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9635" name="Rectangle 9635"/>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Documento firmado</w:t>
                              </w:r>
                              <w:r>
                                <w:rPr>
                                  <w:rFonts w:ascii="Arial" w:eastAsia="Arial" w:hAnsi="Arial" w:cs="Arial"/>
                                  <w:sz w:val="12"/>
                                </w:rPr>
                                <w:t xml:space="preserve"> electrónicamente desde la plataforma esPublico Gestiona | Página 77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0762" style="width:12.7031pt;height:275.586pt;position:absolute;mso-position-horizontal-relative:page;mso-position-horizontal:absolute;margin-left:682.278pt;mso-position-vertical-relative:page;margin-top:536.334pt;" coordsize="1613,34999">
                <v:rect id="Rectangle 9634"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9635"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77 de 180 </w:t>
                        </w:r>
                      </w:p>
                    </w:txbxContent>
                  </v:textbox>
                </v:rect>
                <w10:wrap type="square"/>
              </v:group>
            </w:pict>
          </mc:Fallback>
        </mc:AlternateContent>
      </w:r>
      <w:r>
        <w:rPr>
          <w:rFonts w:ascii="Arial" w:eastAsia="Arial" w:hAnsi="Arial" w:cs="Arial"/>
          <w:i/>
        </w:rPr>
        <w:t xml:space="preserve">Sentencia de 8 de julio de 2011 de la Sala de lo Contencioso-Administrativo del Tribunal Superior de Justicia de Canarias. Sala de lo Contencioso-Administrativo. Sección Segunda. </w:t>
      </w:r>
      <w:r>
        <w:rPr>
          <w:rFonts w:ascii="Arial" w:eastAsia="Arial" w:hAnsi="Arial" w:cs="Arial"/>
          <w:i/>
        </w:rPr>
        <w:t xml:space="preserve">Procedimiento 258/2007. </w:t>
      </w:r>
    </w:p>
    <w:p w:rsidR="00FA7413" w:rsidRDefault="00D712A8">
      <w:pPr>
        <w:spacing w:after="112" w:line="247" w:lineRule="auto"/>
        <w:ind w:left="355" w:right="62" w:hanging="10"/>
        <w:jc w:val="both"/>
      </w:pPr>
      <w:r>
        <w:rPr>
          <w:rFonts w:ascii="Arial" w:eastAsia="Arial" w:hAnsi="Arial" w:cs="Arial"/>
          <w:i/>
        </w:rPr>
        <w:t xml:space="preserve">Fundamentos de derecho: </w:t>
      </w:r>
    </w:p>
    <w:p w:rsidR="00FA7413" w:rsidRDefault="00D712A8">
      <w:pPr>
        <w:spacing w:after="112" w:line="247" w:lineRule="auto"/>
        <w:ind w:left="355" w:right="62" w:hanging="10"/>
        <w:jc w:val="both"/>
      </w:pPr>
      <w:r>
        <w:rPr>
          <w:rFonts w:ascii="Arial" w:eastAsia="Arial" w:hAnsi="Arial" w:cs="Arial"/>
          <w:i/>
        </w:rPr>
        <w:t>FJ 1º: “el actor es propietario de la vivienda y solar sita en c/ Armiche, nº 3 de Las Caletillas, con una superficie de 482,79 m2 inscrita en el Registro de la Propiedad nº 4 de Santa Cruz de Tenerife (fin</w:t>
      </w:r>
      <w:r>
        <w:rPr>
          <w:rFonts w:ascii="Arial" w:eastAsia="Arial" w:hAnsi="Arial" w:cs="Arial"/>
          <w:i/>
        </w:rPr>
        <w:t xml:space="preserve">ca 5285). </w:t>
      </w:r>
    </w:p>
    <w:p w:rsidR="00FA7413" w:rsidRDefault="00D712A8">
      <w:pPr>
        <w:spacing w:after="112" w:line="247" w:lineRule="auto"/>
        <w:ind w:left="355" w:right="62" w:hanging="10"/>
        <w:jc w:val="both"/>
      </w:pPr>
      <w:r>
        <w:rPr>
          <w:rFonts w:ascii="Arial" w:eastAsia="Arial" w:hAnsi="Arial" w:cs="Arial"/>
          <w:i/>
        </w:rPr>
        <w:t xml:space="preserve">Según la Oficina del Catastro la propiedad está formada por dos fincas colidantes que suman una superficie total de 479 m2. </w:t>
      </w:r>
    </w:p>
    <w:p w:rsidR="00FA7413" w:rsidRDefault="00D712A8">
      <w:pPr>
        <w:spacing w:after="112" w:line="247" w:lineRule="auto"/>
        <w:ind w:left="355" w:right="62" w:hanging="10"/>
        <w:jc w:val="both"/>
      </w:pPr>
      <w:r>
        <w:rPr>
          <w:rFonts w:ascii="Arial" w:eastAsia="Arial" w:hAnsi="Arial" w:cs="Arial"/>
          <w:i/>
        </w:rPr>
        <w:t xml:space="preserve">Cuestiona en la demanda, en relación a la finca de su propiedad, la legalidad de la delimitación de la Actuación Urbanística Aislada (AUA) C8 Punta del Rey.  </w:t>
      </w:r>
    </w:p>
    <w:p w:rsidR="00FA7413" w:rsidRDefault="00D712A8">
      <w:pPr>
        <w:spacing w:after="112" w:line="247" w:lineRule="auto"/>
        <w:ind w:left="355" w:right="62" w:hanging="10"/>
        <w:jc w:val="both"/>
      </w:pPr>
      <w:r>
        <w:rPr>
          <w:rFonts w:ascii="Arial" w:eastAsia="Arial" w:hAnsi="Arial" w:cs="Arial"/>
          <w:i/>
        </w:rPr>
        <w:t>El ámbito de la AUA C8 afecta a tres fincas catastrales: la 6697305 y 6697306 propiedad del actor</w:t>
      </w:r>
      <w:r>
        <w:rPr>
          <w:rFonts w:ascii="Arial" w:eastAsia="Arial" w:hAnsi="Arial" w:cs="Arial"/>
          <w:i/>
        </w:rPr>
        <w:t xml:space="preserve">, y la 6697307 (210 m2) propiedad de un tercero. </w:t>
      </w:r>
    </w:p>
    <w:p w:rsidR="00FA7413" w:rsidRDefault="00D712A8">
      <w:pPr>
        <w:spacing w:after="112" w:line="247" w:lineRule="auto"/>
        <w:ind w:left="355" w:right="62" w:hanging="10"/>
        <w:jc w:val="both"/>
      </w:pPr>
      <w:r>
        <w:rPr>
          <w:rFonts w:ascii="Arial" w:eastAsia="Arial" w:hAnsi="Arial" w:cs="Arial"/>
          <w:i/>
        </w:rPr>
        <w:t xml:space="preserve">Se plantean, sucintamente referidas, las siguientes cuestiones: </w:t>
      </w:r>
    </w:p>
    <w:p w:rsidR="00FA7413" w:rsidRDefault="00D712A8">
      <w:pPr>
        <w:spacing w:after="112" w:line="247" w:lineRule="auto"/>
        <w:ind w:left="355" w:right="62" w:hanging="10"/>
        <w:jc w:val="both"/>
      </w:pPr>
      <w:r>
        <w:rPr>
          <w:rFonts w:ascii="Arial" w:eastAsia="Arial" w:hAnsi="Arial" w:cs="Arial"/>
          <w:i/>
        </w:rPr>
        <w:t>-El suelo donde se ubica su propiedad debe ser considerado como suelo urbano consolidado y la delimitación de la AUA implica su consideración</w:t>
      </w:r>
      <w:r>
        <w:rPr>
          <w:rFonts w:ascii="Arial" w:eastAsia="Arial" w:hAnsi="Arial" w:cs="Arial"/>
          <w:i/>
        </w:rPr>
        <w:t xml:space="preserve"> como Urbano No</w:t>
      </w:r>
      <w:r>
        <w:rPr>
          <w:rFonts w:ascii="Arial" w:eastAsia="Arial" w:hAnsi="Arial" w:cs="Arial"/>
        </w:rPr>
        <w:t xml:space="preserve"> </w:t>
      </w:r>
      <w:r>
        <w:rPr>
          <w:rFonts w:ascii="Arial" w:eastAsia="Arial" w:hAnsi="Arial" w:cs="Arial"/>
          <w:i/>
        </w:rPr>
        <w:t xml:space="preserve">Consolidado. </w:t>
      </w:r>
      <w:r>
        <w:rPr>
          <w:rFonts w:ascii="Arial" w:eastAsia="Arial" w:hAnsi="Arial" w:cs="Arial"/>
        </w:rPr>
        <w:t xml:space="preserve"> </w:t>
      </w:r>
    </w:p>
    <w:p w:rsidR="00FA7413" w:rsidRDefault="00D712A8">
      <w:pPr>
        <w:spacing w:after="112" w:line="247" w:lineRule="auto"/>
        <w:ind w:left="355" w:right="62" w:hanging="10"/>
        <w:jc w:val="both"/>
      </w:pPr>
      <w:r>
        <w:rPr>
          <w:rFonts w:ascii="Arial" w:eastAsia="Arial" w:hAnsi="Arial" w:cs="Arial"/>
          <w:i/>
        </w:rPr>
        <w:t xml:space="preserve">-Que la referencia al Desarrollo de la Actuación por Sistema de Ejecución: Privado por compensación (indicativo), es contrario a derecho. </w:t>
      </w:r>
    </w:p>
    <w:p w:rsidR="00FA7413" w:rsidRDefault="00D712A8">
      <w:pPr>
        <w:spacing w:after="112" w:line="247" w:lineRule="auto"/>
        <w:ind w:left="355" w:right="62" w:hanging="10"/>
        <w:jc w:val="both"/>
      </w:pPr>
      <w:r>
        <w:rPr>
          <w:rFonts w:ascii="Arial" w:eastAsia="Arial" w:hAnsi="Arial" w:cs="Arial"/>
          <w:i/>
        </w:rPr>
        <w:t xml:space="preserve">-Que los propietarios de SU consolidado no vienen obligados a ceder suelo destinado a </w:t>
      </w:r>
      <w:r>
        <w:rPr>
          <w:rFonts w:ascii="Arial" w:eastAsia="Arial" w:hAnsi="Arial" w:cs="Arial"/>
          <w:i/>
        </w:rPr>
        <w:t xml:space="preserve">dotaciones de ningún tipo. </w:t>
      </w:r>
    </w:p>
    <w:p w:rsidR="00FA7413" w:rsidRDefault="00D712A8">
      <w:pPr>
        <w:spacing w:after="112" w:line="247" w:lineRule="auto"/>
        <w:ind w:left="355" w:right="62" w:hanging="10"/>
        <w:jc w:val="both"/>
      </w:pPr>
      <w:r>
        <w:rPr>
          <w:rFonts w:ascii="Arial" w:eastAsia="Arial" w:hAnsi="Arial" w:cs="Arial"/>
          <w:i/>
        </w:rPr>
        <w:t>Durante la tramitación del recurso, el Jurado Provincial de Expropiación Forzosa de 23 de marzo de 2009, fijó la cantidad de 45.963,06 euros como justiprecio que el Ayuntamiento de Candelaria debía abonar al recurrente por la ex</w:t>
      </w:r>
      <w:r>
        <w:rPr>
          <w:rFonts w:ascii="Arial" w:eastAsia="Arial" w:hAnsi="Arial" w:cs="Arial"/>
          <w:i/>
        </w:rPr>
        <w:t xml:space="preserve">propiación de la parte de la finca de su propiedad, 100,51 m2 que el Plan General de Ordenación clasificó como Espacio libre y las Normas Subsidiarias de 1987 como viario. </w:t>
      </w:r>
    </w:p>
    <w:p w:rsidR="00FA7413" w:rsidRDefault="00D712A8">
      <w:pPr>
        <w:spacing w:after="100"/>
        <w:ind w:left="360"/>
      </w:pPr>
      <w:r>
        <w:rPr>
          <w:rFonts w:ascii="Arial" w:eastAsia="Arial" w:hAnsi="Arial" w:cs="Arial"/>
          <w:b/>
          <w:i/>
        </w:rPr>
        <w:t xml:space="preserve"> </w:t>
      </w:r>
    </w:p>
    <w:p w:rsidR="00FA7413" w:rsidRDefault="00D712A8">
      <w:pPr>
        <w:spacing w:after="112" w:line="247" w:lineRule="auto"/>
        <w:ind w:left="355" w:right="62" w:hanging="10"/>
        <w:jc w:val="both"/>
      </w:pPr>
      <w:r>
        <w:rPr>
          <w:rFonts w:ascii="Arial" w:eastAsia="Arial" w:hAnsi="Arial" w:cs="Arial"/>
          <w:b/>
          <w:i/>
        </w:rPr>
        <w:t>FJ2º.-</w:t>
      </w:r>
      <w:r>
        <w:rPr>
          <w:rFonts w:ascii="Arial" w:eastAsia="Arial" w:hAnsi="Arial" w:cs="Arial"/>
          <w:i/>
        </w:rPr>
        <w:t xml:space="preserve"> En la Memoria Pormenorizada de la documentación del Plan General de Ordena</w:t>
      </w:r>
      <w:r>
        <w:rPr>
          <w:rFonts w:ascii="Arial" w:eastAsia="Arial" w:hAnsi="Arial" w:cs="Arial"/>
          <w:i/>
        </w:rPr>
        <w:t>ción (f 184) se dice “Para obtener el tramo de Zona Verde de las 2 parcelas sin edificar junto a la Punta del Rey se define una Actuación Urbanística Aislada”. En el mismo sentido, al folio 211 se dice: “Se ha definido una Actuación urbanística Aislada fre</w:t>
      </w:r>
      <w:r>
        <w:rPr>
          <w:rFonts w:ascii="Arial" w:eastAsia="Arial" w:hAnsi="Arial" w:cs="Arial"/>
          <w:i/>
        </w:rPr>
        <w:t>nte al Charco de Graciliano para obtener la zona verde del frente”</w:t>
      </w:r>
      <w:r>
        <w:rPr>
          <w:rFonts w:ascii="Arial" w:eastAsia="Arial" w:hAnsi="Arial" w:cs="Arial"/>
        </w:rPr>
        <w:t xml:space="preserve"> </w:t>
      </w:r>
    </w:p>
    <w:p w:rsidR="00FA7413" w:rsidRDefault="00D712A8">
      <w:pPr>
        <w:spacing w:after="149" w:line="247" w:lineRule="auto"/>
        <w:ind w:left="355" w:right="62" w:hanging="10"/>
        <w:jc w:val="both"/>
      </w:pPr>
      <w:r>
        <w:rPr>
          <w:rFonts w:ascii="Arial" w:eastAsia="Arial" w:hAnsi="Arial" w:cs="Arial"/>
          <w:i/>
        </w:rPr>
        <w:t xml:space="preserve">Según la ficha urbanística la superficie del ámbito es de 6352. La tipología de edificación cerrada y el uso principal residencial. Comprende una zona verde que afecta al propietario 1 en </w:t>
      </w:r>
      <w:r>
        <w:rPr>
          <w:rFonts w:ascii="Arial" w:eastAsia="Arial" w:hAnsi="Arial" w:cs="Arial"/>
          <w:i/>
        </w:rPr>
        <w:t xml:space="preserve">88 m2 y al propietario 2 en 150 m2. </w:t>
      </w:r>
    </w:p>
    <w:p w:rsidR="00FA7413" w:rsidRDefault="00D712A8">
      <w:pPr>
        <w:spacing w:after="112" w:line="247" w:lineRule="auto"/>
        <w:ind w:left="355" w:right="62" w:hanging="10"/>
        <w:jc w:val="both"/>
      </w:pPr>
      <w:r>
        <w:rPr>
          <w:rFonts w:ascii="Arial" w:eastAsia="Arial" w:hAnsi="Arial" w:cs="Arial"/>
          <w:i/>
        </w:rPr>
        <w:t xml:space="preserve">En el apartado “condiciones específicas y medidas correctoras”, se refiere: </w:t>
      </w:r>
    </w:p>
    <w:p w:rsidR="00FA7413" w:rsidRDefault="00D712A8">
      <w:pPr>
        <w:spacing w:after="112" w:line="247" w:lineRule="auto"/>
        <w:ind w:left="355" w:right="62" w:hanging="10"/>
        <w:jc w:val="both"/>
      </w:pPr>
      <w:r>
        <w:rPr>
          <w:rFonts w:ascii="Arial" w:eastAsia="Arial" w:hAnsi="Arial" w:cs="Arial"/>
          <w:i/>
        </w:rPr>
        <w:t xml:space="preserve">-Las parcelas cederán el frente gratuitamente como zona verde no teniendo la obligación de urbanizarlo. </w:t>
      </w:r>
    </w:p>
    <w:p w:rsidR="00FA7413" w:rsidRDefault="00D712A8">
      <w:pPr>
        <w:spacing w:after="112" w:line="247" w:lineRule="auto"/>
        <w:ind w:left="355" w:right="62" w:hanging="10"/>
        <w:jc w:val="both"/>
      </w:pPr>
      <w:r>
        <w:rPr>
          <w:rFonts w:ascii="Arial" w:eastAsia="Arial" w:hAnsi="Arial" w:cs="Arial"/>
          <w:i/>
        </w:rPr>
        <w:t xml:space="preserve">-Deberán tramitar la correspondiente </w:t>
      </w:r>
      <w:r>
        <w:rPr>
          <w:rFonts w:ascii="Arial" w:eastAsia="Arial" w:hAnsi="Arial" w:cs="Arial"/>
          <w:i/>
        </w:rPr>
        <w:t xml:space="preserve">autorización de Costas para la ocupación de la servidumbre de protección. </w:t>
      </w:r>
    </w:p>
    <w:p w:rsidR="00FA7413" w:rsidRDefault="00D712A8">
      <w:pPr>
        <w:spacing w:after="88" w:line="306" w:lineRule="auto"/>
        <w:ind w:left="355" w:right="62" w:hanging="10"/>
        <w:jc w:val="both"/>
      </w:pPr>
      <w:r>
        <w:rPr>
          <w:noProof/>
        </w:rPr>
        <mc:AlternateContent>
          <mc:Choice Requires="wpg">
            <w:drawing>
              <wp:anchor distT="0" distB="0" distL="114300" distR="114300" simplePos="0" relativeHeight="251739136"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0918" name="Group 210918"/>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9742" name="Rectangle 9742"/>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9743" name="Rectangle 9743"/>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Documento firmado electrónicamente desde la plataforma esPublico Gestiona | Pá</w:t>
                              </w:r>
                              <w:r>
                                <w:rPr>
                                  <w:rFonts w:ascii="Arial" w:eastAsia="Arial" w:hAnsi="Arial" w:cs="Arial"/>
                                  <w:sz w:val="12"/>
                                </w:rPr>
                                <w:t xml:space="preserve">gina 78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0918" style="width:12.7031pt;height:275.586pt;position:absolute;mso-position-horizontal-relative:page;mso-position-horizontal:absolute;margin-left:682.278pt;mso-position-vertical-relative:page;margin-top:536.334pt;" coordsize="1613,34999">
                <v:rect id="Rectangle 9742"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9743"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78 de 180 </w:t>
                        </w:r>
                      </w:p>
                    </w:txbxContent>
                  </v:textbox>
                </v:rect>
                <w10:wrap type="square"/>
              </v:group>
            </w:pict>
          </mc:Fallback>
        </mc:AlternateContent>
      </w:r>
      <w:r>
        <w:rPr>
          <w:rFonts w:ascii="Arial" w:eastAsia="Arial" w:hAnsi="Arial" w:cs="Arial"/>
          <w:i/>
        </w:rPr>
        <w:t>-El proyecto de edificación será único, si bien se podrá ejecutar según las dos parcelas resultantes. En el referido a “compromisos de urbanización”: deberán reponer las aceras y resolver las acometidas de las redes incluyéndose en el proye</w:t>
      </w:r>
      <w:r>
        <w:rPr>
          <w:rFonts w:ascii="Arial" w:eastAsia="Arial" w:hAnsi="Arial" w:cs="Arial"/>
          <w:i/>
        </w:rPr>
        <w:t xml:space="preserve">cto de edificación” </w:t>
      </w:r>
    </w:p>
    <w:p w:rsidR="00FA7413" w:rsidRDefault="00D712A8">
      <w:pPr>
        <w:spacing w:after="112" w:line="247" w:lineRule="auto"/>
        <w:ind w:left="355" w:right="62" w:hanging="10"/>
        <w:jc w:val="both"/>
      </w:pPr>
      <w:r>
        <w:rPr>
          <w:rFonts w:ascii="Arial" w:eastAsia="Arial" w:hAnsi="Arial" w:cs="Arial"/>
          <w:i/>
        </w:rPr>
        <w:t xml:space="preserve">“Desarrollo de la Actuación”: Sistema de Ejecución: Privado por compensación (indicativo) </w:t>
      </w:r>
    </w:p>
    <w:p w:rsidR="00FA7413" w:rsidRDefault="00D712A8">
      <w:pPr>
        <w:spacing w:after="98"/>
        <w:ind w:left="360"/>
      </w:pPr>
      <w:r>
        <w:rPr>
          <w:rFonts w:ascii="Arial" w:eastAsia="Arial" w:hAnsi="Arial" w:cs="Arial"/>
        </w:rPr>
        <w:t xml:space="preserve"> </w:t>
      </w:r>
    </w:p>
    <w:p w:rsidR="00FA7413" w:rsidRDefault="00D712A8">
      <w:pPr>
        <w:spacing w:after="112" w:line="247" w:lineRule="auto"/>
        <w:ind w:left="355" w:right="62" w:hanging="10"/>
        <w:jc w:val="both"/>
      </w:pPr>
      <w:r>
        <w:rPr>
          <w:rFonts w:ascii="Arial" w:eastAsia="Arial" w:hAnsi="Arial" w:cs="Arial"/>
          <w:b/>
          <w:i/>
        </w:rPr>
        <w:t xml:space="preserve">FJ3º.- </w:t>
      </w:r>
      <w:r>
        <w:rPr>
          <w:rFonts w:ascii="Arial" w:eastAsia="Arial" w:hAnsi="Arial" w:cs="Arial"/>
          <w:i/>
        </w:rPr>
        <w:t>Entre los deberes de los propietarios del Suelo Urbano Consolidado, el artículo 73.3 de la Ley de Ordenación del Territorio de Canarias, texto refundido aprobado por el real decreto legislativo 1/2000, de 8 de mayo, no se contempla la de cesión de suelo.</w:t>
      </w:r>
      <w:r>
        <w:rPr>
          <w:rFonts w:ascii="Arial" w:eastAsia="Arial" w:hAnsi="Arial" w:cs="Arial"/>
        </w:rPr>
        <w:t xml:space="preserve"> </w:t>
      </w:r>
    </w:p>
    <w:p w:rsidR="00FA7413" w:rsidRDefault="00D712A8">
      <w:pPr>
        <w:spacing w:after="112" w:line="247" w:lineRule="auto"/>
        <w:ind w:left="355" w:right="62" w:hanging="10"/>
        <w:jc w:val="both"/>
      </w:pPr>
      <w:r>
        <w:rPr>
          <w:rFonts w:ascii="Arial" w:eastAsia="Arial" w:hAnsi="Arial" w:cs="Arial"/>
          <w:i/>
        </w:rPr>
        <w:t>La ficha urbanística refiere el deber de ceder gratuitamente el suelo afectado por la delimitación de la zona verde. También contiene una referencia al sistema de ejecución privado por compensación, que el Ayuntamiento en su contestación refiere que se tra</w:t>
      </w:r>
      <w:r>
        <w:rPr>
          <w:rFonts w:ascii="Arial" w:eastAsia="Arial" w:hAnsi="Arial" w:cs="Arial"/>
          <w:i/>
        </w:rPr>
        <w:t xml:space="preserve">ta de un mero error.  </w:t>
      </w:r>
    </w:p>
    <w:p w:rsidR="00FA7413" w:rsidRDefault="00D712A8">
      <w:pPr>
        <w:spacing w:after="112" w:line="247" w:lineRule="auto"/>
        <w:ind w:left="355" w:right="62" w:hanging="10"/>
        <w:jc w:val="both"/>
      </w:pPr>
      <w:r>
        <w:rPr>
          <w:rFonts w:ascii="Arial" w:eastAsia="Arial" w:hAnsi="Arial" w:cs="Arial"/>
          <w:i/>
        </w:rPr>
        <w:t xml:space="preserve">Pero el contenido de la ficha urbanística es claro cuando señala que “cederán al frente gratuitamente como zona verde no teniendo obligación de urbanizarlo” y el total de superficie a ceder (238 m2 entre los propietarios). Además la </w:t>
      </w:r>
      <w:r>
        <w:rPr>
          <w:rFonts w:ascii="Arial" w:eastAsia="Arial" w:hAnsi="Arial" w:cs="Arial"/>
          <w:i/>
        </w:rPr>
        <w:t xml:space="preserve">Memoria Pormenorizada también justifica la delimitación de la AUA “para obtener el tramo de zona verde las dos parcelas”. </w:t>
      </w:r>
    </w:p>
    <w:p w:rsidR="00FA7413" w:rsidRDefault="00D712A8">
      <w:pPr>
        <w:spacing w:after="112" w:line="247" w:lineRule="auto"/>
        <w:ind w:left="355" w:right="62" w:hanging="10"/>
        <w:jc w:val="both"/>
      </w:pPr>
      <w:r>
        <w:rPr>
          <w:rFonts w:ascii="Arial" w:eastAsia="Arial" w:hAnsi="Arial" w:cs="Arial"/>
          <w:i/>
        </w:rPr>
        <w:t xml:space="preserve">El convenio urbanístico se refiere para el establecimiento del sistema, que de manera indicativa será el de compensación. </w:t>
      </w:r>
    </w:p>
    <w:p w:rsidR="00FA7413" w:rsidRDefault="00D712A8">
      <w:pPr>
        <w:spacing w:after="112" w:line="247" w:lineRule="auto"/>
        <w:ind w:left="355" w:right="62" w:hanging="10"/>
        <w:jc w:val="both"/>
      </w:pPr>
      <w:r>
        <w:rPr>
          <w:rFonts w:ascii="Arial" w:eastAsia="Arial" w:hAnsi="Arial" w:cs="Arial"/>
          <w:i/>
        </w:rPr>
        <w:t>Esta forma de regulación no es propia de una actuación aislada suelo urbano consolidado en el que no caben actuaciones asistemáticas. Si se trataba de ejecutar la zona verde era suficiente con su delimitación y la obtención del suelo preciso de conformidad</w:t>
      </w:r>
      <w:r>
        <w:rPr>
          <w:rFonts w:ascii="Arial" w:eastAsia="Arial" w:hAnsi="Arial" w:cs="Arial"/>
          <w:i/>
        </w:rPr>
        <w:t xml:space="preserve"> con lo establecido en el artículo 145 del TRLOTCENC. </w:t>
      </w:r>
    </w:p>
    <w:p w:rsidR="00FA7413" w:rsidRDefault="00D712A8">
      <w:pPr>
        <w:spacing w:after="110" w:line="249" w:lineRule="auto"/>
        <w:ind w:left="355" w:right="57" w:hanging="10"/>
        <w:jc w:val="both"/>
      </w:pPr>
      <w:r>
        <w:rPr>
          <w:rFonts w:ascii="Arial" w:eastAsia="Arial" w:hAnsi="Arial" w:cs="Arial"/>
          <w:i/>
          <w:u w:val="single" w:color="000000"/>
        </w:rPr>
        <w:t>La urbanización pendiente a cargo de los propietarios ni la afectación de la propiedad por la</w:t>
      </w:r>
      <w:r>
        <w:rPr>
          <w:rFonts w:ascii="Arial" w:eastAsia="Arial" w:hAnsi="Arial" w:cs="Arial"/>
          <w:i/>
        </w:rPr>
        <w:t xml:space="preserve"> </w:t>
      </w:r>
      <w:r>
        <w:rPr>
          <w:rFonts w:ascii="Arial" w:eastAsia="Arial" w:hAnsi="Arial" w:cs="Arial"/>
          <w:i/>
          <w:u w:val="single" w:color="000000"/>
        </w:rPr>
        <w:t>servidumbre de protección de costas justifican la delimitación de la AUA-C8, cuya finalidad era la</w:t>
      </w:r>
      <w:r>
        <w:rPr>
          <w:rFonts w:ascii="Arial" w:eastAsia="Arial" w:hAnsi="Arial" w:cs="Arial"/>
          <w:i/>
        </w:rPr>
        <w:t xml:space="preserve"> </w:t>
      </w:r>
      <w:r>
        <w:rPr>
          <w:rFonts w:ascii="Arial" w:eastAsia="Arial" w:hAnsi="Arial" w:cs="Arial"/>
          <w:i/>
          <w:u w:val="single" w:color="000000"/>
        </w:rPr>
        <w:t>establec</w:t>
      </w:r>
      <w:r>
        <w:rPr>
          <w:rFonts w:ascii="Arial" w:eastAsia="Arial" w:hAnsi="Arial" w:cs="Arial"/>
          <w:i/>
          <w:u w:val="single" w:color="000000"/>
        </w:rPr>
        <w:t>ida en la ficha, contraria al estatuto del propietario del suelo urbano consolidado</w:t>
      </w:r>
      <w:r>
        <w:rPr>
          <w:rFonts w:ascii="Arial" w:eastAsia="Arial" w:hAnsi="Arial" w:cs="Arial"/>
          <w:i/>
        </w:rPr>
        <w:t xml:space="preserve"> </w:t>
      </w:r>
      <w:r>
        <w:rPr>
          <w:rFonts w:ascii="Arial" w:eastAsia="Arial" w:hAnsi="Arial" w:cs="Arial"/>
          <w:i/>
          <w:u w:val="single" w:color="000000"/>
        </w:rPr>
        <w:t>establecida por la ley</w:t>
      </w:r>
      <w:r>
        <w:rPr>
          <w:rFonts w:ascii="Arial" w:eastAsia="Arial" w:hAnsi="Arial" w:cs="Arial"/>
          <w:i/>
        </w:rPr>
        <w:t xml:space="preserve"> </w:t>
      </w:r>
    </w:p>
    <w:p w:rsidR="00FA7413" w:rsidRDefault="00D712A8">
      <w:pPr>
        <w:spacing w:after="110" w:line="249" w:lineRule="auto"/>
        <w:ind w:left="355" w:right="57" w:hanging="10"/>
        <w:jc w:val="both"/>
      </w:pPr>
      <w:r>
        <w:rPr>
          <w:rFonts w:ascii="Arial" w:eastAsia="Arial" w:hAnsi="Arial" w:cs="Arial"/>
          <w:i/>
          <w:u w:val="single" w:color="000000"/>
        </w:rPr>
        <w:t>En este punto debe prosperar la demanda.</w:t>
      </w:r>
      <w:r>
        <w:rPr>
          <w:rFonts w:ascii="Arial" w:eastAsia="Arial" w:hAnsi="Arial" w:cs="Arial"/>
          <w:i/>
        </w:rPr>
        <w:t xml:space="preserve"> </w:t>
      </w:r>
    </w:p>
    <w:p w:rsidR="00FA7413" w:rsidRDefault="00D712A8">
      <w:pPr>
        <w:spacing w:after="98"/>
        <w:ind w:left="360"/>
      </w:pPr>
      <w:r>
        <w:rPr>
          <w:rFonts w:ascii="Arial" w:eastAsia="Arial" w:hAnsi="Arial" w:cs="Arial"/>
        </w:rPr>
        <w:t xml:space="preserve"> </w:t>
      </w:r>
    </w:p>
    <w:p w:rsidR="00FA7413" w:rsidRDefault="00D712A8">
      <w:pPr>
        <w:spacing w:after="112" w:line="247" w:lineRule="auto"/>
        <w:ind w:left="355" w:right="62" w:hanging="10"/>
        <w:jc w:val="both"/>
      </w:pPr>
      <w:r>
        <w:rPr>
          <w:rFonts w:ascii="Arial" w:eastAsia="Arial" w:hAnsi="Arial" w:cs="Arial"/>
          <w:i/>
        </w:rPr>
        <w:t>FJ 4º.- También reclama el recurrente el establecimiento de una indemnización por los daños y perjuicios</w:t>
      </w:r>
      <w:r>
        <w:rPr>
          <w:rFonts w:ascii="Arial" w:eastAsia="Arial" w:hAnsi="Arial" w:cs="Arial"/>
          <w:i/>
        </w:rPr>
        <w:t xml:space="preserve"> causados, pero en el recurso no han quedado acreditada la existencia de dichos daños y perjuicios. </w:t>
      </w:r>
    </w:p>
    <w:p w:rsidR="00FA7413" w:rsidRDefault="00D712A8">
      <w:pPr>
        <w:spacing w:after="112" w:line="247" w:lineRule="auto"/>
        <w:ind w:left="355" w:right="62" w:hanging="10"/>
        <w:jc w:val="both"/>
      </w:pPr>
      <w:r>
        <w:rPr>
          <w:rFonts w:ascii="Arial" w:eastAsia="Arial" w:hAnsi="Arial" w:cs="Arial"/>
          <w:i/>
        </w:rPr>
        <w:t>Relata en la demanda que en relación al vial que contemplaban las NNSS de 1987, en el año 2005 se realizaron diversas reuniones con representantes del Ayun</w:t>
      </w:r>
      <w:r>
        <w:rPr>
          <w:rFonts w:ascii="Arial" w:eastAsia="Arial" w:hAnsi="Arial" w:cs="Arial"/>
          <w:i/>
        </w:rPr>
        <w:t>tamiento para la posible suscripción de un convenio urbanístico expropiatorio, finalmente no suscrito. Así como la presentación de un escrito denunciando la mora en la expropiación de los terrenos. Pero ninguno de estos supuestos guardan relación con el ac</w:t>
      </w:r>
      <w:r>
        <w:rPr>
          <w:rFonts w:ascii="Arial" w:eastAsia="Arial" w:hAnsi="Arial" w:cs="Arial"/>
          <w:i/>
        </w:rPr>
        <w:t>to objeto del recurso ni los hipotéticos daños y perjuicios que pudiera haber sufrido podrían derivar de su estimación, ni han sido reclamados anteriormente ante la Administración, que sería la municipal y no la de la Comunidad Autónoma que es la que aprob</w:t>
      </w:r>
      <w:r>
        <w:rPr>
          <w:rFonts w:ascii="Arial" w:eastAsia="Arial" w:hAnsi="Arial" w:cs="Arial"/>
          <w:i/>
        </w:rPr>
        <w:t xml:space="preserve">ó definitivamente el Plan General de Ordenación objeto de impugnación. </w:t>
      </w:r>
    </w:p>
    <w:p w:rsidR="00FA7413" w:rsidRDefault="00D712A8">
      <w:pPr>
        <w:spacing w:after="132"/>
        <w:ind w:left="360"/>
      </w:pPr>
      <w:r>
        <w:rPr>
          <w:rFonts w:ascii="Arial" w:eastAsia="Arial" w:hAnsi="Arial" w:cs="Arial"/>
        </w:rPr>
        <w:t xml:space="preserve"> </w:t>
      </w:r>
    </w:p>
    <w:p w:rsidR="00FA7413" w:rsidRDefault="00D712A8">
      <w:pPr>
        <w:spacing w:after="5" w:line="354" w:lineRule="auto"/>
        <w:ind w:left="355" w:right="8181" w:hanging="10"/>
        <w:jc w:val="both"/>
      </w:pPr>
      <w:r>
        <w:rPr>
          <w:rFonts w:ascii="Arial" w:eastAsia="Arial" w:hAnsi="Arial" w:cs="Arial"/>
          <w:i/>
        </w:rPr>
        <w:t xml:space="preserve">(…) </w:t>
      </w:r>
      <w:r>
        <w:rPr>
          <w:rFonts w:ascii="Arial" w:eastAsia="Arial" w:hAnsi="Arial" w:cs="Arial"/>
          <w:b/>
          <w:i/>
        </w:rPr>
        <w:t xml:space="preserve">Fallamos: </w:t>
      </w:r>
    </w:p>
    <w:p w:rsidR="00FA7413" w:rsidRDefault="00D712A8">
      <w:pPr>
        <w:spacing w:after="112" w:line="247" w:lineRule="auto"/>
        <w:ind w:left="355" w:right="62" w:hanging="10"/>
        <w:jc w:val="both"/>
      </w:pPr>
      <w:r>
        <w:rPr>
          <w:noProof/>
        </w:rPr>
        <mc:AlternateContent>
          <mc:Choice Requires="wpg">
            <w:drawing>
              <wp:anchor distT="0" distB="0" distL="114300" distR="114300" simplePos="0" relativeHeight="251740160"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1065" name="Group 211065"/>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9845" name="Rectangle 9845"/>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9846" name="Rectangle 9846"/>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79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1065" style="width:12.7031pt;height:275.586pt;position:absolute;mso-position-horizontal-relative:page;mso-position-horizontal:absolute;margin-left:682.278pt;mso-position-vertical-relative:page;margin-top:536.334pt;" coordsize="1613,34999">
                <v:rect id="Rectangle 9845"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9846"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79 de 180 </w:t>
                        </w:r>
                      </w:p>
                    </w:txbxContent>
                  </v:textbox>
                </v:rect>
                <w10:wrap type="square"/>
              </v:group>
            </w:pict>
          </mc:Fallback>
        </mc:AlternateContent>
      </w:r>
      <w:r>
        <w:rPr>
          <w:rFonts w:ascii="Arial" w:eastAsia="Arial" w:hAnsi="Arial" w:cs="Arial"/>
          <w:i/>
        </w:rPr>
        <w:t>Estimar, en parte, el recurso interpuesto en nombre de D. Felipe González Santos, declarando no conforme a Derecho el acuerdo impugnado de la COTMAC de 20 de juli</w:t>
      </w:r>
      <w:r>
        <w:rPr>
          <w:rFonts w:ascii="Arial" w:eastAsia="Arial" w:hAnsi="Arial" w:cs="Arial"/>
          <w:i/>
        </w:rPr>
        <w:t xml:space="preserve">o de 2006 hecho público en el Boletín Oficial de Canarias de 17 de mayo de 2007, respecto a la delimitación de la AUA C8. Sin Costas. </w:t>
      </w:r>
    </w:p>
    <w:p w:rsidR="00FA7413" w:rsidRDefault="00D712A8">
      <w:pPr>
        <w:spacing w:after="98"/>
        <w:ind w:left="1068"/>
      </w:pPr>
      <w:r>
        <w:rPr>
          <w:rFonts w:ascii="Arial" w:eastAsia="Arial" w:hAnsi="Arial" w:cs="Arial"/>
        </w:rPr>
        <w:t xml:space="preserve"> </w:t>
      </w:r>
    </w:p>
    <w:p w:rsidR="00FA7413" w:rsidRDefault="00D712A8">
      <w:pPr>
        <w:spacing w:after="98"/>
        <w:ind w:left="1068"/>
      </w:pPr>
      <w:r>
        <w:rPr>
          <w:rFonts w:ascii="Arial" w:eastAsia="Arial" w:hAnsi="Arial" w:cs="Arial"/>
        </w:rPr>
        <w:t xml:space="preserve"> </w:t>
      </w:r>
    </w:p>
    <w:p w:rsidR="00FA7413" w:rsidRDefault="00D712A8">
      <w:pPr>
        <w:spacing w:after="113" w:line="249" w:lineRule="auto"/>
        <w:ind w:left="345" w:right="62" w:firstLine="708"/>
        <w:jc w:val="both"/>
      </w:pPr>
      <w:r>
        <w:rPr>
          <w:rFonts w:ascii="Arial" w:eastAsia="Arial" w:hAnsi="Arial" w:cs="Arial"/>
          <w:b/>
          <w:i/>
        </w:rPr>
        <w:t xml:space="preserve">Cuarto. - Consta en el expediente informe técnico de la Arquitecta de la Oficina Técnica de 14 de septiembre de 2020 </w:t>
      </w:r>
      <w:r>
        <w:rPr>
          <w:rFonts w:ascii="Arial" w:eastAsia="Arial" w:hAnsi="Arial" w:cs="Arial"/>
          <w:b/>
          <w:i/>
        </w:rPr>
        <w:t xml:space="preserve">sobre la ejecución de la presente sentencia con la elaboración de la nueva ficha del PGO para cumplir con dicha sentencia: </w:t>
      </w:r>
    </w:p>
    <w:p w:rsidR="00FA7413" w:rsidRDefault="00D712A8">
      <w:pPr>
        <w:spacing w:after="98"/>
        <w:ind w:left="1068"/>
      </w:pPr>
      <w:r>
        <w:rPr>
          <w:rFonts w:ascii="Arial" w:eastAsia="Arial" w:hAnsi="Arial" w:cs="Arial"/>
          <w:b/>
          <w:i/>
        </w:rPr>
        <w:t xml:space="preserve"> </w:t>
      </w:r>
    </w:p>
    <w:p w:rsidR="00FA7413" w:rsidRDefault="00D712A8">
      <w:pPr>
        <w:spacing w:after="98"/>
        <w:ind w:left="290"/>
        <w:jc w:val="center"/>
      </w:pPr>
      <w:r>
        <w:rPr>
          <w:rFonts w:ascii="Arial" w:eastAsia="Arial" w:hAnsi="Arial" w:cs="Arial"/>
          <w:b/>
          <w:i/>
        </w:rPr>
        <w:t>INFORME</w:t>
      </w:r>
      <w:r>
        <w:rPr>
          <w:rFonts w:ascii="Arial" w:eastAsia="Arial" w:hAnsi="Arial" w:cs="Arial"/>
        </w:rPr>
        <w:t xml:space="preserve"> </w:t>
      </w:r>
    </w:p>
    <w:p w:rsidR="00FA7413" w:rsidRDefault="00D712A8">
      <w:pPr>
        <w:spacing w:after="112" w:line="247" w:lineRule="auto"/>
        <w:ind w:left="355" w:right="62" w:hanging="10"/>
        <w:jc w:val="both"/>
      </w:pPr>
      <w:r>
        <w:rPr>
          <w:rFonts w:ascii="Arial" w:eastAsia="Arial" w:hAnsi="Arial" w:cs="Arial"/>
          <w:i/>
        </w:rPr>
        <w:t xml:space="preserve">Visto el expediente antedicho, Nayra Guzmán Hernández, arquitecta municipal, emite el siguiente informe: </w:t>
      </w:r>
    </w:p>
    <w:p w:rsidR="00FA7413" w:rsidRDefault="00D712A8">
      <w:pPr>
        <w:spacing w:after="0"/>
        <w:ind w:left="360"/>
      </w:pPr>
      <w:r>
        <w:rPr>
          <w:rFonts w:ascii="Times New Roman" w:eastAsia="Times New Roman" w:hAnsi="Times New Roman" w:cs="Times New Roman"/>
          <w:i/>
          <w:sz w:val="24"/>
        </w:rPr>
        <w:t xml:space="preserve"> </w:t>
      </w:r>
    </w:p>
    <w:p w:rsidR="00FA7413" w:rsidRDefault="00D712A8">
      <w:pPr>
        <w:spacing w:after="5" w:line="249" w:lineRule="auto"/>
        <w:ind w:left="355" w:right="62" w:hanging="10"/>
        <w:jc w:val="both"/>
      </w:pPr>
      <w:r>
        <w:rPr>
          <w:rFonts w:ascii="Arial" w:eastAsia="Arial" w:hAnsi="Arial" w:cs="Arial"/>
          <w:b/>
          <w:i/>
        </w:rPr>
        <w:t>ANTECEDENTES:</w:t>
      </w:r>
      <w:r>
        <w:rPr>
          <w:rFonts w:ascii="Arial" w:eastAsia="Arial" w:hAnsi="Arial" w:cs="Arial"/>
          <w:b/>
          <w:i/>
        </w:rPr>
        <w:t xml:space="preserve"> </w:t>
      </w:r>
    </w:p>
    <w:p w:rsidR="00FA7413" w:rsidRDefault="00D712A8">
      <w:pPr>
        <w:spacing w:after="12"/>
        <w:ind w:left="360"/>
      </w:pPr>
      <w:r>
        <w:rPr>
          <w:rFonts w:ascii="Arial" w:eastAsia="Arial" w:hAnsi="Arial" w:cs="Arial"/>
          <w:b/>
          <w:i/>
        </w:rPr>
        <w:t xml:space="preserve"> </w:t>
      </w:r>
    </w:p>
    <w:p w:rsidR="00FA7413" w:rsidRDefault="00D712A8">
      <w:pPr>
        <w:numPr>
          <w:ilvl w:val="0"/>
          <w:numId w:val="17"/>
        </w:numPr>
        <w:spacing w:after="0" w:line="247" w:lineRule="auto"/>
        <w:ind w:right="62" w:hanging="360"/>
        <w:jc w:val="both"/>
      </w:pPr>
      <w:r>
        <w:rPr>
          <w:rFonts w:ascii="Arial" w:eastAsia="Arial" w:hAnsi="Arial" w:cs="Arial"/>
          <w:i/>
        </w:rPr>
        <w:t xml:space="preserve">El suelo objeto del presente informe conforme al </w:t>
      </w:r>
      <w:r>
        <w:rPr>
          <w:rFonts w:ascii="Arial" w:eastAsia="Arial" w:hAnsi="Arial" w:cs="Arial"/>
          <w:b/>
          <w:i/>
        </w:rPr>
        <w:t xml:space="preserve">PLAN GENERAL DE ORDENACIÓN, </w:t>
      </w:r>
      <w:r>
        <w:rPr>
          <w:rFonts w:ascii="Arial" w:eastAsia="Arial" w:hAnsi="Arial" w:cs="Arial"/>
          <w:i/>
        </w:rPr>
        <w:t>planeamiento municipal en vigor, con publicaciones en B.O.C. de fecha 10 de mayo de 2007 y B.O.P. de fecha 17 de mayo de 2007  y Modificaciones Puntuales, aprobadas definitiva</w:t>
      </w:r>
      <w:r>
        <w:rPr>
          <w:rFonts w:ascii="Arial" w:eastAsia="Arial" w:hAnsi="Arial" w:cs="Arial"/>
          <w:i/>
        </w:rPr>
        <w:t>mente por acuerdo del Ayuntamiento Pleno, en sesiones ordinarias de fecha 26 de marzo de 2009 y 29 de diciembre de 2011 y publicada en el BOP de Santa Cruz de Tenerife de fecha 17 de junio de 2009 y 3 de febrero de 2012, respectivamente, se encuentra</w:t>
      </w:r>
      <w:r>
        <w:rPr>
          <w:rFonts w:ascii="Arial" w:eastAsia="Arial" w:hAnsi="Arial" w:cs="Arial"/>
          <w:b/>
          <w:i/>
        </w:rPr>
        <w:t xml:space="preserve"> </w:t>
      </w:r>
      <w:r>
        <w:rPr>
          <w:rFonts w:ascii="Arial" w:eastAsia="Arial" w:hAnsi="Arial" w:cs="Arial"/>
          <w:i/>
        </w:rPr>
        <w:t>clasi</w:t>
      </w:r>
      <w:r>
        <w:rPr>
          <w:rFonts w:ascii="Arial" w:eastAsia="Arial" w:hAnsi="Arial" w:cs="Arial"/>
          <w:i/>
        </w:rPr>
        <w:t xml:space="preserve">ficada, categorizada y calificada como: </w:t>
      </w:r>
      <w:r>
        <w:rPr>
          <w:rFonts w:ascii="Times New Roman" w:eastAsia="Times New Roman" w:hAnsi="Times New Roman" w:cs="Times New Roman"/>
          <w:sz w:val="24"/>
        </w:rPr>
        <w:t xml:space="preserve"> </w:t>
      </w:r>
    </w:p>
    <w:p w:rsidR="00FA7413" w:rsidRDefault="00D712A8">
      <w:pPr>
        <w:spacing w:after="5" w:line="249" w:lineRule="auto"/>
        <w:ind w:left="628" w:right="62" w:hanging="283"/>
        <w:jc w:val="both"/>
      </w:pPr>
      <w:r>
        <w:rPr>
          <w:rFonts w:ascii="Arial" w:eastAsia="Arial" w:hAnsi="Arial" w:cs="Arial"/>
          <w:b/>
          <w:i/>
        </w:rPr>
        <w:t xml:space="preserve">    Suelo Urbano consolidado. Incluido en la actuación urbanística aislada AUA-C8 Punta del Rey. Edificación Cerrada 2 plantas. Afectada por la servidumbre  </w:t>
      </w:r>
    </w:p>
    <w:p w:rsidR="00FA7413" w:rsidRDefault="00D712A8">
      <w:pPr>
        <w:spacing w:after="0"/>
        <w:ind w:left="360"/>
      </w:pPr>
      <w:r>
        <w:rPr>
          <w:rFonts w:ascii="Arial" w:eastAsia="Arial" w:hAnsi="Arial" w:cs="Arial"/>
          <w:b/>
          <w:i/>
        </w:rPr>
        <w:t xml:space="preserve"> </w:t>
      </w:r>
    </w:p>
    <w:p w:rsidR="00FA7413" w:rsidRDefault="00D712A8">
      <w:pPr>
        <w:spacing w:after="5" w:line="249" w:lineRule="auto"/>
        <w:ind w:left="355" w:right="62" w:hanging="10"/>
        <w:jc w:val="both"/>
      </w:pPr>
      <w:r>
        <w:rPr>
          <w:rFonts w:ascii="Arial" w:eastAsia="Arial" w:hAnsi="Arial" w:cs="Arial"/>
          <w:b/>
          <w:i/>
        </w:rPr>
        <w:t xml:space="preserve">de protección del Dominio Público Marítimo Terrestre. Uso residencial plurifamiliar </w:t>
      </w:r>
    </w:p>
    <w:p w:rsidR="00FA7413" w:rsidRDefault="00D712A8">
      <w:pPr>
        <w:spacing w:after="0"/>
        <w:ind w:left="360"/>
      </w:pPr>
      <w:r>
        <w:rPr>
          <w:noProof/>
        </w:rPr>
        <mc:AlternateContent>
          <mc:Choice Requires="wpg">
            <w:drawing>
              <wp:anchor distT="0" distB="0" distL="114300" distR="114300" simplePos="0" relativeHeight="251741184" behindDoc="0" locked="0" layoutInCell="1" allowOverlap="1">
                <wp:simplePos x="0" y="0"/>
                <wp:positionH relativeFrom="page">
                  <wp:posOffset>8664935</wp:posOffset>
                </wp:positionH>
                <wp:positionV relativeFrom="page">
                  <wp:posOffset>6811442</wp:posOffset>
                </wp:positionV>
                <wp:extent cx="161330" cy="3499942"/>
                <wp:effectExtent l="0" t="0" r="0" b="0"/>
                <wp:wrapTopAndBottom/>
                <wp:docPr id="210467" name="Group 210467"/>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9894" name="Rectangle 9894"/>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9895" name="Rectangle 9895"/>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Documento firmado electrónicamente desde la plataforma esPublico Ges</w:t>
                              </w:r>
                              <w:r>
                                <w:rPr>
                                  <w:rFonts w:ascii="Arial" w:eastAsia="Arial" w:hAnsi="Arial" w:cs="Arial"/>
                                  <w:sz w:val="12"/>
                                </w:rPr>
                                <w:t xml:space="preserve">tiona | Página 80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0467" style="width:12.7031pt;height:275.586pt;position:absolute;mso-position-horizontal-relative:page;mso-position-horizontal:absolute;margin-left:682.278pt;mso-position-vertical-relative:page;margin-top:536.334pt;" coordsize="1613,34999">
                <v:rect id="Rectangle 9894"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9895"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80 de 180 </w:t>
                        </w:r>
                      </w:p>
                    </w:txbxContent>
                  </v:textbox>
                </v:rect>
                <w10:wrap type="topAndBottom"/>
              </v:group>
            </w:pict>
          </mc:Fallback>
        </mc:AlternateContent>
      </w:r>
      <w:r>
        <w:rPr>
          <w:rFonts w:ascii="Arial" w:eastAsia="Arial" w:hAnsi="Arial" w:cs="Arial"/>
          <w:b/>
          <w:i/>
        </w:rPr>
        <w:t xml:space="preserve"> </w:t>
      </w:r>
    </w:p>
    <w:p w:rsidR="00FA7413" w:rsidRDefault="00D712A8">
      <w:pPr>
        <w:spacing w:after="52"/>
        <w:ind w:right="1375"/>
        <w:jc w:val="right"/>
      </w:pPr>
      <w:r>
        <w:rPr>
          <w:noProof/>
        </w:rPr>
        <w:drawing>
          <wp:inline distT="0" distB="0" distL="0" distR="0">
            <wp:extent cx="4308482" cy="3619487"/>
            <wp:effectExtent l="0" t="0" r="0" b="0"/>
            <wp:docPr id="9891" name="Picture 9891"/>
            <wp:cNvGraphicFramePr/>
            <a:graphic xmlns:a="http://schemas.openxmlformats.org/drawingml/2006/main">
              <a:graphicData uri="http://schemas.openxmlformats.org/drawingml/2006/picture">
                <pic:pic xmlns:pic="http://schemas.openxmlformats.org/drawingml/2006/picture">
                  <pic:nvPicPr>
                    <pic:cNvPr id="9891" name="Picture 9891"/>
                    <pic:cNvPicPr/>
                  </pic:nvPicPr>
                  <pic:blipFill>
                    <a:blip r:embed="rId17"/>
                    <a:stretch>
                      <a:fillRect/>
                    </a:stretch>
                  </pic:blipFill>
                  <pic:spPr>
                    <a:xfrm>
                      <a:off x="0" y="0"/>
                      <a:ext cx="4308482" cy="3619487"/>
                    </a:xfrm>
                    <a:prstGeom prst="rect">
                      <a:avLst/>
                    </a:prstGeom>
                  </pic:spPr>
                </pic:pic>
              </a:graphicData>
            </a:graphic>
          </wp:inline>
        </w:drawing>
      </w:r>
      <w:r>
        <w:rPr>
          <w:rFonts w:ascii="Arial" w:eastAsia="Arial" w:hAnsi="Arial" w:cs="Arial"/>
        </w:rPr>
        <w:t xml:space="preserve"> </w:t>
      </w:r>
    </w:p>
    <w:p w:rsidR="00FA7413" w:rsidRDefault="00D712A8">
      <w:pPr>
        <w:spacing w:after="98"/>
        <w:ind w:left="346"/>
        <w:jc w:val="center"/>
      </w:pPr>
      <w:r>
        <w:rPr>
          <w:rFonts w:ascii="Arial" w:eastAsia="Arial" w:hAnsi="Arial" w:cs="Arial"/>
        </w:rPr>
        <w:t xml:space="preserve"> </w:t>
      </w:r>
    </w:p>
    <w:p w:rsidR="00FA7413" w:rsidRDefault="00D712A8">
      <w:pPr>
        <w:spacing w:after="0"/>
        <w:ind w:left="346"/>
        <w:jc w:val="center"/>
      </w:pPr>
      <w:r>
        <w:rPr>
          <w:rFonts w:ascii="Arial" w:eastAsia="Arial" w:hAnsi="Arial" w:cs="Arial"/>
        </w:rPr>
        <w:t xml:space="preserve"> </w:t>
      </w:r>
    </w:p>
    <w:p w:rsidR="00FA7413" w:rsidRDefault="00D712A8">
      <w:pPr>
        <w:spacing w:after="0"/>
        <w:ind w:right="860"/>
        <w:jc w:val="right"/>
      </w:pPr>
      <w:r>
        <w:rPr>
          <w:noProof/>
        </w:rPr>
        <w:drawing>
          <wp:inline distT="0" distB="0" distL="0" distR="0">
            <wp:extent cx="4974347" cy="5997366"/>
            <wp:effectExtent l="0" t="0" r="0" b="0"/>
            <wp:docPr id="9942" name="Picture 9942"/>
            <wp:cNvGraphicFramePr/>
            <a:graphic xmlns:a="http://schemas.openxmlformats.org/drawingml/2006/main">
              <a:graphicData uri="http://schemas.openxmlformats.org/drawingml/2006/picture">
                <pic:pic xmlns:pic="http://schemas.openxmlformats.org/drawingml/2006/picture">
                  <pic:nvPicPr>
                    <pic:cNvPr id="9942" name="Picture 9942"/>
                    <pic:cNvPicPr/>
                  </pic:nvPicPr>
                  <pic:blipFill>
                    <a:blip r:embed="rId18"/>
                    <a:stretch>
                      <a:fillRect/>
                    </a:stretch>
                  </pic:blipFill>
                  <pic:spPr>
                    <a:xfrm>
                      <a:off x="0" y="0"/>
                      <a:ext cx="4974347" cy="5997366"/>
                    </a:xfrm>
                    <a:prstGeom prst="rect">
                      <a:avLst/>
                    </a:prstGeom>
                  </pic:spPr>
                </pic:pic>
              </a:graphicData>
            </a:graphic>
          </wp:inline>
        </w:drawing>
      </w:r>
      <w:r>
        <w:rPr>
          <w:rFonts w:ascii="Times New Roman" w:eastAsia="Times New Roman" w:hAnsi="Times New Roman" w:cs="Times New Roman"/>
          <w:sz w:val="24"/>
        </w:rPr>
        <w:t xml:space="preserve"> </w:t>
      </w:r>
    </w:p>
    <w:p w:rsidR="00FA7413" w:rsidRDefault="00D712A8">
      <w:pPr>
        <w:spacing w:after="0"/>
        <w:ind w:left="360"/>
      </w:pPr>
      <w:r>
        <w:rPr>
          <w:rFonts w:ascii="Arial" w:eastAsia="Arial" w:hAnsi="Arial" w:cs="Arial"/>
        </w:rPr>
        <w:t xml:space="preserve"> </w:t>
      </w:r>
    </w:p>
    <w:p w:rsidR="00FA7413" w:rsidRDefault="00D712A8">
      <w:pPr>
        <w:numPr>
          <w:ilvl w:val="0"/>
          <w:numId w:val="17"/>
        </w:numPr>
        <w:spacing w:after="0" w:line="247" w:lineRule="auto"/>
        <w:ind w:right="62" w:hanging="360"/>
        <w:jc w:val="both"/>
      </w:pPr>
      <w:r>
        <w:rPr>
          <w:rFonts w:ascii="Arial" w:eastAsia="Arial" w:hAnsi="Arial" w:cs="Arial"/>
          <w:i/>
        </w:rPr>
        <w:t>El Jurado Provincial de Expropiación Forzosa de 23 de marzo de 2009, fijó la cantidad de 45.983,08 € como justiprecio que el Ayuntamiento de Candelaria abonó al recurrente por la expropiación de parte de la finca de su propiedad, 100,51 m2 que el Plan Gene</w:t>
      </w:r>
      <w:r>
        <w:rPr>
          <w:rFonts w:ascii="Arial" w:eastAsia="Arial" w:hAnsi="Arial" w:cs="Arial"/>
          <w:i/>
        </w:rPr>
        <w:t xml:space="preserve">ral de Ordenación calificó como Zona verde. </w:t>
      </w:r>
    </w:p>
    <w:p w:rsidR="00FA7413" w:rsidRDefault="00D712A8">
      <w:pPr>
        <w:spacing w:after="14"/>
        <w:ind w:left="1080"/>
      </w:pPr>
      <w:r>
        <w:rPr>
          <w:noProof/>
        </w:rPr>
        <mc:AlternateContent>
          <mc:Choice Requires="wpg">
            <w:drawing>
              <wp:anchor distT="0" distB="0" distL="114300" distR="114300" simplePos="0" relativeHeight="251742208"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0412" name="Group 210412"/>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9945" name="Rectangle 9945"/>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9946" name="Rectangle 9946"/>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81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0412" style="width:12.7031pt;height:275.586pt;position:absolute;mso-position-horizontal-relative:page;mso-position-horizontal:absolute;margin-left:682.278pt;mso-position-vertical-relative:page;margin-top:536.334pt;" coordsize="1613,34999">
                <v:rect id="Rectangle 9945"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9946"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81 de 180 </w:t>
                        </w:r>
                      </w:p>
                    </w:txbxContent>
                  </v:textbox>
                </v:rect>
                <w10:wrap type="square"/>
              </v:group>
            </w:pict>
          </mc:Fallback>
        </mc:AlternateContent>
      </w:r>
      <w:r>
        <w:rPr>
          <w:rFonts w:ascii="Arial" w:eastAsia="Arial" w:hAnsi="Arial" w:cs="Arial"/>
          <w:i/>
        </w:rPr>
        <w:t xml:space="preserve"> </w:t>
      </w:r>
    </w:p>
    <w:p w:rsidR="00FA7413" w:rsidRDefault="00D712A8">
      <w:pPr>
        <w:numPr>
          <w:ilvl w:val="0"/>
          <w:numId w:val="17"/>
        </w:numPr>
        <w:spacing w:after="3" w:line="241" w:lineRule="auto"/>
        <w:ind w:right="62" w:hanging="360"/>
        <w:jc w:val="both"/>
      </w:pPr>
      <w:r>
        <w:rPr>
          <w:rFonts w:ascii="Arial" w:eastAsia="Arial" w:hAnsi="Arial" w:cs="Arial"/>
          <w:i/>
        </w:rPr>
        <w:t xml:space="preserve">Con fecha 8 </w:t>
      </w:r>
      <w:r>
        <w:rPr>
          <w:rFonts w:ascii="Arial" w:eastAsia="Arial" w:hAnsi="Arial" w:cs="Arial"/>
          <w:i/>
        </w:rPr>
        <w:t xml:space="preserve">de julio de 2011, se dicta sentencia por parte del Tribunal superior de Justicia de Canarias, Sala Contencioso Administrativo, Sala Segunda, en el Procedimiento Ordinario nº258/2007, en el que se falla </w:t>
      </w:r>
      <w:r>
        <w:rPr>
          <w:rFonts w:ascii="Arial" w:eastAsia="Arial" w:hAnsi="Arial" w:cs="Arial"/>
          <w:b/>
          <w:i/>
        </w:rPr>
        <w:t>anular la delimitación de la AUA-C8 Punta del Rey</w:t>
      </w:r>
      <w:r>
        <w:rPr>
          <w:rFonts w:ascii="Times New Roman" w:eastAsia="Times New Roman" w:hAnsi="Times New Roman" w:cs="Times New Roman"/>
          <w:sz w:val="24"/>
        </w:rPr>
        <w:t xml:space="preserve"> </w:t>
      </w:r>
      <w:r>
        <w:rPr>
          <w:rFonts w:ascii="Arial" w:eastAsia="Arial" w:hAnsi="Arial" w:cs="Arial"/>
          <w:b/>
          <w:i/>
        </w:rPr>
        <w:t>INFO</w:t>
      </w:r>
      <w:r>
        <w:rPr>
          <w:rFonts w:ascii="Arial" w:eastAsia="Arial" w:hAnsi="Arial" w:cs="Arial"/>
          <w:b/>
          <w:i/>
        </w:rPr>
        <w:t xml:space="preserve">RME: </w:t>
      </w:r>
    </w:p>
    <w:p w:rsidR="00FA7413" w:rsidRDefault="00D712A8">
      <w:pPr>
        <w:spacing w:after="0"/>
        <w:ind w:left="360"/>
      </w:pPr>
      <w:r>
        <w:rPr>
          <w:rFonts w:ascii="Arial" w:eastAsia="Arial" w:hAnsi="Arial" w:cs="Arial"/>
          <w:i/>
        </w:rPr>
        <w:t xml:space="preserve"> </w:t>
      </w:r>
    </w:p>
    <w:p w:rsidR="00FA7413" w:rsidRDefault="00D712A8">
      <w:pPr>
        <w:spacing w:after="0" w:line="247" w:lineRule="auto"/>
        <w:ind w:left="355" w:right="62" w:hanging="10"/>
        <w:jc w:val="both"/>
      </w:pPr>
      <w:r>
        <w:rPr>
          <w:rFonts w:ascii="Arial" w:eastAsia="Arial" w:hAnsi="Arial" w:cs="Arial"/>
          <w:i/>
        </w:rPr>
        <w:t xml:space="preserve">El suelo objeto del presente informe, pertenece a dos parcelas catastrales con dos propietarios distintos. Referencias Catastrales: </w:t>
      </w:r>
      <w:r>
        <w:rPr>
          <w:rFonts w:ascii="Arial" w:eastAsia="Arial" w:hAnsi="Arial" w:cs="Arial"/>
          <w:b/>
          <w:i/>
        </w:rPr>
        <w:t xml:space="preserve">Parcela 1: </w:t>
      </w:r>
      <w:r>
        <w:rPr>
          <w:rFonts w:ascii="Arial" w:eastAsia="Arial" w:hAnsi="Arial" w:cs="Arial"/>
          <w:i/>
        </w:rPr>
        <w:t xml:space="preserve">6697305CS6369N0001QJ y </w:t>
      </w:r>
      <w:r>
        <w:rPr>
          <w:rFonts w:ascii="Arial" w:eastAsia="Arial" w:hAnsi="Arial" w:cs="Arial"/>
          <w:b/>
          <w:i/>
        </w:rPr>
        <w:t xml:space="preserve">Parcela 2:  </w:t>
      </w:r>
      <w:r>
        <w:rPr>
          <w:rFonts w:ascii="Arial" w:eastAsia="Arial" w:hAnsi="Arial" w:cs="Arial"/>
          <w:i/>
          <w:color w:val="333333"/>
        </w:rPr>
        <w:t>6697307CS6369N0001LJ. La sentencia afecta a la totalidad de la actuaci</w:t>
      </w:r>
      <w:r>
        <w:rPr>
          <w:rFonts w:ascii="Arial" w:eastAsia="Arial" w:hAnsi="Arial" w:cs="Arial"/>
          <w:i/>
          <w:color w:val="333333"/>
        </w:rPr>
        <w:t xml:space="preserve">ón urbanística. </w:t>
      </w:r>
      <w:r>
        <w:rPr>
          <w:rFonts w:ascii="Times New Roman" w:eastAsia="Times New Roman" w:hAnsi="Times New Roman" w:cs="Times New Roman"/>
          <w:sz w:val="24"/>
        </w:rPr>
        <w:t xml:space="preserve"> </w:t>
      </w:r>
    </w:p>
    <w:p w:rsidR="00FA7413" w:rsidRDefault="00D712A8">
      <w:pPr>
        <w:spacing w:after="0"/>
        <w:ind w:left="360"/>
      </w:pPr>
      <w:r>
        <w:rPr>
          <w:noProof/>
        </w:rPr>
        <mc:AlternateContent>
          <mc:Choice Requires="wpg">
            <w:drawing>
              <wp:anchor distT="0" distB="0" distL="114300" distR="114300" simplePos="0" relativeHeight="251743232" behindDoc="0" locked="0" layoutInCell="1" allowOverlap="1">
                <wp:simplePos x="0" y="0"/>
                <wp:positionH relativeFrom="page">
                  <wp:posOffset>8664935</wp:posOffset>
                </wp:positionH>
                <wp:positionV relativeFrom="page">
                  <wp:posOffset>6811442</wp:posOffset>
                </wp:positionV>
                <wp:extent cx="161330" cy="3499942"/>
                <wp:effectExtent l="0" t="0" r="0" b="0"/>
                <wp:wrapTopAndBottom/>
                <wp:docPr id="210995" name="Group 210995"/>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9997" name="Rectangle 9997"/>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9998" name="Rectangle 9998"/>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82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0995" style="width:12.7031pt;height:275.586pt;position:absolute;mso-position-horizontal-relative:page;mso-position-horizontal:absolute;margin-left:682.278pt;mso-position-vertical-relative:page;margin-top:536.334pt;" coordsize="1613,34999">
                <v:rect id="Rectangle 9997"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9998"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82 de 180 </w:t>
                        </w:r>
                      </w:p>
                    </w:txbxContent>
                  </v:textbox>
                </v:rect>
                <w10:wrap type="topAndBottom"/>
              </v:group>
            </w:pict>
          </mc:Fallback>
        </mc:AlternateContent>
      </w:r>
      <w:r>
        <w:rPr>
          <w:rFonts w:ascii="Arial" w:eastAsia="Arial" w:hAnsi="Arial" w:cs="Arial"/>
        </w:rPr>
        <w:t xml:space="preserve"> </w:t>
      </w:r>
    </w:p>
    <w:p w:rsidR="00FA7413" w:rsidRDefault="00D712A8">
      <w:pPr>
        <w:spacing w:after="0"/>
        <w:ind w:left="344"/>
        <w:jc w:val="center"/>
      </w:pPr>
      <w:r>
        <w:rPr>
          <w:noProof/>
        </w:rPr>
        <w:drawing>
          <wp:inline distT="0" distB="0" distL="0" distR="0">
            <wp:extent cx="3649980" cy="2369820"/>
            <wp:effectExtent l="0" t="0" r="0" b="0"/>
            <wp:docPr id="9994" name="Picture 9994"/>
            <wp:cNvGraphicFramePr/>
            <a:graphic xmlns:a="http://schemas.openxmlformats.org/drawingml/2006/main">
              <a:graphicData uri="http://schemas.openxmlformats.org/drawingml/2006/picture">
                <pic:pic xmlns:pic="http://schemas.openxmlformats.org/drawingml/2006/picture">
                  <pic:nvPicPr>
                    <pic:cNvPr id="9994" name="Picture 9994"/>
                    <pic:cNvPicPr/>
                  </pic:nvPicPr>
                  <pic:blipFill>
                    <a:blip r:embed="rId19"/>
                    <a:stretch>
                      <a:fillRect/>
                    </a:stretch>
                  </pic:blipFill>
                  <pic:spPr>
                    <a:xfrm>
                      <a:off x="0" y="0"/>
                      <a:ext cx="3649980" cy="2369820"/>
                    </a:xfrm>
                    <a:prstGeom prst="rect">
                      <a:avLst/>
                    </a:prstGeom>
                  </pic:spPr>
                </pic:pic>
              </a:graphicData>
            </a:graphic>
          </wp:inline>
        </w:drawing>
      </w:r>
      <w:r>
        <w:rPr>
          <w:rFonts w:ascii="Times New Roman" w:eastAsia="Times New Roman" w:hAnsi="Times New Roman" w:cs="Times New Roman"/>
          <w:sz w:val="24"/>
        </w:rPr>
        <w:t xml:space="preserve"> </w: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spacing w:after="0" w:line="247" w:lineRule="auto"/>
        <w:ind w:left="355" w:right="62" w:hanging="10"/>
        <w:jc w:val="both"/>
      </w:pPr>
      <w:r>
        <w:rPr>
          <w:rFonts w:ascii="Arial" w:eastAsia="Arial" w:hAnsi="Arial" w:cs="Arial"/>
          <w:i/>
        </w:rPr>
        <w:t xml:space="preserve">Al quedar anulada la actuación urbanística aislada, el suelo quedaría clasificado, categorizado y calificado de la siguiente manera: </w:t>
      </w:r>
    </w:p>
    <w:p w:rsidR="00FA7413" w:rsidRDefault="00D712A8">
      <w:pPr>
        <w:spacing w:after="0"/>
        <w:ind w:left="360"/>
      </w:pPr>
      <w:r>
        <w:rPr>
          <w:rFonts w:ascii="Arial" w:eastAsia="Arial" w:hAnsi="Arial" w:cs="Arial"/>
          <w:i/>
        </w:rPr>
        <w:t xml:space="preserve"> </w:t>
      </w:r>
    </w:p>
    <w:p w:rsidR="00FA7413" w:rsidRDefault="00D712A8">
      <w:pPr>
        <w:spacing w:after="5" w:line="249" w:lineRule="auto"/>
        <w:ind w:left="355" w:right="62" w:hanging="10"/>
        <w:jc w:val="both"/>
      </w:pPr>
      <w:r>
        <w:rPr>
          <w:rFonts w:ascii="Arial" w:eastAsia="Arial" w:hAnsi="Arial" w:cs="Arial"/>
          <w:b/>
          <w:i/>
        </w:rPr>
        <w:t>Suelo Urbano consolidado. Edificación Cerrada 2 plantas. Afectada por la servidumbre de protección del Dominio Público M</w:t>
      </w:r>
      <w:r>
        <w:rPr>
          <w:rFonts w:ascii="Arial" w:eastAsia="Arial" w:hAnsi="Arial" w:cs="Arial"/>
          <w:b/>
          <w:i/>
        </w:rPr>
        <w:t xml:space="preserve">arítimo Terrestre. Uso residencial plurifamiliar. </w:t>
      </w:r>
    </w:p>
    <w:p w:rsidR="00FA7413" w:rsidRDefault="00D712A8">
      <w:pPr>
        <w:spacing w:after="0"/>
        <w:ind w:left="360"/>
      </w:pPr>
      <w:r>
        <w:rPr>
          <w:rFonts w:ascii="Arial" w:eastAsia="Arial" w:hAnsi="Arial" w:cs="Arial"/>
          <w:b/>
          <w:i/>
        </w:rPr>
        <w:t xml:space="preserve"> </w:t>
      </w:r>
    </w:p>
    <w:p w:rsidR="00FA7413" w:rsidRDefault="00D712A8">
      <w:pPr>
        <w:spacing w:after="0"/>
        <w:ind w:right="2428"/>
        <w:jc w:val="right"/>
      </w:pPr>
      <w:r>
        <w:rPr>
          <w:noProof/>
        </w:rPr>
        <w:drawing>
          <wp:inline distT="0" distB="0" distL="0" distR="0">
            <wp:extent cx="3002370" cy="3360281"/>
            <wp:effectExtent l="0" t="0" r="0" b="0"/>
            <wp:docPr id="10024" name="Picture 10024"/>
            <wp:cNvGraphicFramePr/>
            <a:graphic xmlns:a="http://schemas.openxmlformats.org/drawingml/2006/main">
              <a:graphicData uri="http://schemas.openxmlformats.org/drawingml/2006/picture">
                <pic:pic xmlns:pic="http://schemas.openxmlformats.org/drawingml/2006/picture">
                  <pic:nvPicPr>
                    <pic:cNvPr id="10024" name="Picture 10024"/>
                    <pic:cNvPicPr/>
                  </pic:nvPicPr>
                  <pic:blipFill>
                    <a:blip r:embed="rId20"/>
                    <a:stretch>
                      <a:fillRect/>
                    </a:stretch>
                  </pic:blipFill>
                  <pic:spPr>
                    <a:xfrm>
                      <a:off x="0" y="0"/>
                      <a:ext cx="3002370" cy="3360281"/>
                    </a:xfrm>
                    <a:prstGeom prst="rect">
                      <a:avLst/>
                    </a:prstGeom>
                  </pic:spPr>
                </pic:pic>
              </a:graphicData>
            </a:graphic>
          </wp:inline>
        </w:drawing>
      </w:r>
      <w:r>
        <w:rPr>
          <w:rFonts w:ascii="Times New Roman" w:eastAsia="Times New Roman" w:hAnsi="Times New Roman" w:cs="Times New Roman"/>
          <w:sz w:val="24"/>
        </w:rPr>
        <w:t xml:space="preserve"> </w:t>
      </w:r>
    </w:p>
    <w:p w:rsidR="00FA7413" w:rsidRDefault="00D712A8">
      <w:pPr>
        <w:spacing w:after="0"/>
        <w:ind w:left="360"/>
      </w:pPr>
      <w:r>
        <w:rPr>
          <w:noProof/>
        </w:rPr>
        <mc:AlternateContent>
          <mc:Choice Requires="wpg">
            <w:drawing>
              <wp:anchor distT="0" distB="0" distL="114300" distR="114300" simplePos="0" relativeHeight="251744256" behindDoc="0" locked="0" layoutInCell="1" allowOverlap="1">
                <wp:simplePos x="0" y="0"/>
                <wp:positionH relativeFrom="page">
                  <wp:posOffset>8664935</wp:posOffset>
                </wp:positionH>
                <wp:positionV relativeFrom="page">
                  <wp:posOffset>6811442</wp:posOffset>
                </wp:positionV>
                <wp:extent cx="161330" cy="3499942"/>
                <wp:effectExtent l="0" t="0" r="0" b="0"/>
                <wp:wrapTopAndBottom/>
                <wp:docPr id="210768" name="Group 210768"/>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0027" name="Rectangle 10027"/>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0028" name="Rectangle 10028"/>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83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0768" style="width:12.7031pt;height:275.586pt;position:absolute;mso-position-horizontal-relative:page;mso-position-horizontal:absolute;margin-left:682.278pt;mso-position-vertical-relative:page;margin-top:536.334pt;" coordsize="1613,34999">
                <v:rect id="Rectangle 10027"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0028"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83 de 180 </w:t>
                        </w:r>
                      </w:p>
                    </w:txbxContent>
                  </v:textbox>
                </v:rect>
                <w10:wrap type="topAndBottom"/>
              </v:group>
            </w:pict>
          </mc:Fallback>
        </mc:AlternateContent>
      </w:r>
      <w:r>
        <w:rPr>
          <w:rFonts w:ascii="Times New Roman" w:eastAsia="Times New Roman" w:hAnsi="Times New Roman" w:cs="Times New Roman"/>
          <w:sz w:val="24"/>
        </w:rPr>
        <w:t xml:space="preserve"> </w:t>
      </w:r>
      <w:r>
        <w:br w:type="page"/>
      </w:r>
    </w:p>
    <w:p w:rsidR="00FA7413" w:rsidRDefault="00D712A8">
      <w:pPr>
        <w:spacing w:after="0" w:line="216" w:lineRule="auto"/>
        <w:ind w:left="5142" w:right="423" w:hanging="4782"/>
        <w:jc w:val="both"/>
      </w:pPr>
      <w:r>
        <w:rPr>
          <w:noProof/>
        </w:rPr>
        <mc:AlternateContent>
          <mc:Choice Requires="wpg">
            <w:drawing>
              <wp:anchor distT="0" distB="0" distL="114300" distR="114300" simplePos="0" relativeHeight="251745280" behindDoc="0" locked="0" layoutInCell="1" allowOverlap="1">
                <wp:simplePos x="0" y="0"/>
                <wp:positionH relativeFrom="page">
                  <wp:posOffset>8664935</wp:posOffset>
                </wp:positionH>
                <wp:positionV relativeFrom="page">
                  <wp:posOffset>6811442</wp:posOffset>
                </wp:positionV>
                <wp:extent cx="161330" cy="3499942"/>
                <wp:effectExtent l="0" t="0" r="0" b="0"/>
                <wp:wrapTopAndBottom/>
                <wp:docPr id="217075" name="Group 217075"/>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0053" name="Rectangle 10053"/>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0054" name="Rectangle 10054"/>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84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7075" style="width:12.7031pt;height:275.586pt;position:absolute;mso-position-horizontal-relative:page;mso-position-horizontal:absolute;margin-left:682.278pt;mso-position-vertical-relative:page;margin-top:536.334pt;" coordsize="1613,34999">
                <v:rect id="Rectangle 10053"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0054"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84 de 180 </w:t>
                        </w:r>
                      </w:p>
                    </w:txbxContent>
                  </v:textbox>
                </v:rect>
                <w10:wrap type="topAndBottom"/>
              </v:group>
            </w:pict>
          </mc:Fallback>
        </mc:AlternateContent>
      </w:r>
      <w:r>
        <w:rPr>
          <w:noProof/>
        </w:rPr>
        <w:drawing>
          <wp:inline distT="0" distB="0" distL="0" distR="0">
            <wp:extent cx="5812614" cy="7513083"/>
            <wp:effectExtent l="0" t="0" r="0" b="0"/>
            <wp:docPr id="10050" name="Picture 10050"/>
            <wp:cNvGraphicFramePr/>
            <a:graphic xmlns:a="http://schemas.openxmlformats.org/drawingml/2006/main">
              <a:graphicData uri="http://schemas.openxmlformats.org/drawingml/2006/picture">
                <pic:pic xmlns:pic="http://schemas.openxmlformats.org/drawingml/2006/picture">
                  <pic:nvPicPr>
                    <pic:cNvPr id="10050" name="Picture 10050"/>
                    <pic:cNvPicPr/>
                  </pic:nvPicPr>
                  <pic:blipFill>
                    <a:blip r:embed="rId21"/>
                    <a:stretch>
                      <a:fillRect/>
                    </a:stretch>
                  </pic:blipFill>
                  <pic:spPr>
                    <a:xfrm>
                      <a:off x="0" y="0"/>
                      <a:ext cx="5812614" cy="7513083"/>
                    </a:xfrm>
                    <a:prstGeom prst="rect">
                      <a:avLst/>
                    </a:prstGeom>
                  </pic:spPr>
                </pic:pic>
              </a:graphicData>
            </a:graphic>
          </wp:inline>
        </w:drawing>
      </w:r>
      <w:r>
        <w:rPr>
          <w:rFonts w:ascii="Times New Roman" w:eastAsia="Times New Roman" w:hAnsi="Times New Roman" w:cs="Times New Roman"/>
          <w:sz w:val="24"/>
        </w:rPr>
        <w:t xml:space="preserve"> </w:t>
      </w:r>
      <w:r>
        <w:rPr>
          <w:rFonts w:ascii="Arial" w:eastAsia="Arial" w:hAnsi="Arial" w:cs="Arial"/>
          <w:b/>
        </w:rPr>
        <w:t xml:space="preserve"> </w:t>
      </w:r>
    </w:p>
    <w:p w:rsidR="00FA7413" w:rsidRDefault="00D712A8">
      <w:pPr>
        <w:spacing w:after="100"/>
        <w:ind w:left="360"/>
      </w:pPr>
      <w:r>
        <w:rPr>
          <w:rFonts w:ascii="Arial" w:eastAsia="Arial" w:hAnsi="Arial" w:cs="Arial"/>
        </w:rPr>
        <w:t xml:space="preserve"> </w:t>
      </w:r>
    </w:p>
    <w:p w:rsidR="00FA7413" w:rsidRDefault="00D712A8">
      <w:pPr>
        <w:spacing w:after="141" w:line="249" w:lineRule="auto"/>
        <w:ind w:left="345" w:right="62" w:firstLine="708"/>
        <w:jc w:val="both"/>
      </w:pPr>
      <w:r>
        <w:rPr>
          <w:rFonts w:ascii="Arial" w:eastAsia="Arial" w:hAnsi="Arial" w:cs="Arial"/>
          <w:b/>
          <w:i/>
        </w:rPr>
        <w:t xml:space="preserve">Quinto.-  </w:t>
      </w:r>
      <w:r>
        <w:rPr>
          <w:rFonts w:ascii="Arial" w:eastAsia="Arial" w:hAnsi="Arial" w:cs="Arial"/>
          <w:b/>
          <w:i/>
        </w:rPr>
        <w:t xml:space="preserve">Consta en el expediente oficio del Gobierno de Canarias al Ayuntamiento de Candelaria por registro de entrada de 7 de junio de 2021 que transcrito literalmente dice: </w:t>
      </w:r>
    </w:p>
    <w:p w:rsidR="00FA7413" w:rsidRDefault="00D712A8">
      <w:pPr>
        <w:spacing w:after="112" w:line="247" w:lineRule="auto"/>
        <w:ind w:left="345" w:right="62" w:firstLine="708"/>
        <w:jc w:val="both"/>
      </w:pPr>
      <w:r>
        <w:rPr>
          <w:rFonts w:ascii="Arial" w:eastAsia="Arial" w:hAnsi="Arial" w:cs="Arial"/>
          <w:i/>
        </w:rPr>
        <w:t>“(…) En los casos de las sentencias de los expedientes número 2328/2020 y 2329/2020 – que</w:t>
      </w:r>
      <w:r>
        <w:rPr>
          <w:rFonts w:ascii="Arial" w:eastAsia="Arial" w:hAnsi="Arial" w:cs="Arial"/>
          <w:i/>
        </w:rPr>
        <w:t xml:space="preserve"> se refieren a procedimientos en los que los recursos interpuestos fueron estimados por considerarse que el acto impugnado era contrario a derecho y se anulan dos determinaciones urbanísticas –al contener una resolución meramente anulatoria de las determin</w:t>
      </w:r>
      <w:r>
        <w:rPr>
          <w:rFonts w:ascii="Arial" w:eastAsia="Arial" w:hAnsi="Arial" w:cs="Arial"/>
          <w:i/>
        </w:rPr>
        <w:t>aciones del plan, pero sin reconocimiento de una situación jurídica individualizada por la parte demandante, su ejecución se agota con la publicación en el diario oficial del fallo anulatorio por parte del órgano que lo aprobó, de conformidad con el artícu</w:t>
      </w:r>
      <w:r>
        <w:rPr>
          <w:rFonts w:ascii="Arial" w:eastAsia="Arial" w:hAnsi="Arial" w:cs="Arial"/>
          <w:i/>
        </w:rPr>
        <w:t>lo 107.2, de relación con el 72.2 de la ley 29/1998, de 13 de julio, Reguladora de la Jurisdicción Contenciosa-administrativa; así como con el estampillado de una diligencia para hacer constar el fallo anulatorio en el ejemplar del plan general de ordenaci</w:t>
      </w:r>
      <w:r>
        <w:rPr>
          <w:rFonts w:ascii="Arial" w:eastAsia="Arial" w:hAnsi="Arial" w:cs="Arial"/>
          <w:i/>
        </w:rPr>
        <w:t xml:space="preserve">ón que consta en las dependencias autonómicas. </w:t>
      </w:r>
    </w:p>
    <w:p w:rsidR="00FA7413" w:rsidRDefault="00D712A8">
      <w:pPr>
        <w:spacing w:after="112" w:line="247" w:lineRule="auto"/>
        <w:ind w:left="345" w:right="62" w:firstLine="708"/>
        <w:jc w:val="both"/>
      </w:pPr>
      <w:r>
        <w:rPr>
          <w:rFonts w:ascii="Arial" w:eastAsia="Arial" w:hAnsi="Arial" w:cs="Arial"/>
          <w:i/>
        </w:rPr>
        <w:t xml:space="preserve">Cuando en los acuerdos de la COTMAC de toma de conocimiento de las sentencias firmes recaídas en estos dos últimos RCA se insta al Ayuntamiento de Candelaria a que lleve a puro y debido efecto la sentencia y </w:t>
      </w:r>
      <w:r>
        <w:rPr>
          <w:rFonts w:ascii="Arial" w:eastAsia="Arial" w:hAnsi="Arial" w:cs="Arial"/>
          <w:i/>
        </w:rPr>
        <w:t>practique lo que exija el cumplimiento de las declaraciones contenidas en el fallo, tal exigencia se agota, también, con el estampillado de una diligencia para hacer constar el fallo anulatorio en el ejemplar del plan general de ordenación que conste en la</w:t>
      </w:r>
      <w:r>
        <w:rPr>
          <w:rFonts w:ascii="Arial" w:eastAsia="Arial" w:hAnsi="Arial" w:cs="Arial"/>
          <w:i/>
        </w:rPr>
        <w:t xml:space="preserve">s dependencias municipales por parte de la Secretaría de la Corporación local o funcionario autorizado. </w:t>
      </w:r>
    </w:p>
    <w:p w:rsidR="00FA7413" w:rsidRDefault="00D712A8">
      <w:pPr>
        <w:spacing w:after="112" w:line="247" w:lineRule="auto"/>
        <w:ind w:left="345" w:right="62" w:firstLine="708"/>
        <w:jc w:val="both"/>
      </w:pPr>
      <w:r>
        <w:rPr>
          <w:noProof/>
        </w:rPr>
        <mc:AlternateContent>
          <mc:Choice Requires="wpg">
            <w:drawing>
              <wp:anchor distT="0" distB="0" distL="114300" distR="114300" simplePos="0" relativeHeight="251746304"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1571" name="Group 211571"/>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0168" name="Rectangle 10168"/>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0169" name="Rectangle 10169"/>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Documento firmado electrónicamente desde la plat</w:t>
                              </w:r>
                              <w:r>
                                <w:rPr>
                                  <w:rFonts w:ascii="Arial" w:eastAsia="Arial" w:hAnsi="Arial" w:cs="Arial"/>
                                  <w:sz w:val="12"/>
                                </w:rPr>
                                <w:t xml:space="preserve">aforma esPublico Gestiona | Página 85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1571" style="width:12.7031pt;height:275.586pt;position:absolute;mso-position-horizontal-relative:page;mso-position-horizontal:absolute;margin-left:682.278pt;mso-position-vertical-relative:page;margin-top:536.334pt;" coordsize="1613,34999">
                <v:rect id="Rectangle 10168"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0169"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85 de 180 </w:t>
                        </w:r>
                      </w:p>
                    </w:txbxContent>
                  </v:textbox>
                </v:rect>
                <w10:wrap type="square"/>
              </v:group>
            </w:pict>
          </mc:Fallback>
        </mc:AlternateContent>
      </w:r>
      <w:r>
        <w:rPr>
          <w:rFonts w:ascii="Arial" w:eastAsia="Arial" w:hAnsi="Arial" w:cs="Arial"/>
          <w:i/>
        </w:rPr>
        <w:t>Los acuerdos de la COTMAC referidos a tales sentencias fueron publicados en el Boletín Oficial de Canarias en la forma indicada anteriormente, habiéndose procedido al estampillado de la diligencia anulatoria en</w:t>
      </w:r>
      <w:r>
        <w:rPr>
          <w:rFonts w:ascii="Arial" w:eastAsia="Arial" w:hAnsi="Arial" w:cs="Arial"/>
          <w:i/>
        </w:rPr>
        <w:t xml:space="preserve"> el ejemplar del plan general que consta en estas dependencias. (…) ” </w:t>
      </w:r>
    </w:p>
    <w:p w:rsidR="00FA7413" w:rsidRDefault="00D712A8">
      <w:pPr>
        <w:spacing w:after="103"/>
        <w:ind w:left="3198"/>
      </w:pPr>
      <w:r>
        <w:rPr>
          <w:rFonts w:ascii="Arial" w:eastAsia="Arial" w:hAnsi="Arial" w:cs="Arial"/>
          <w:b/>
        </w:rPr>
        <w:t xml:space="preserve"> </w:t>
      </w:r>
    </w:p>
    <w:p w:rsidR="00FA7413" w:rsidRDefault="00D712A8">
      <w:pPr>
        <w:spacing w:after="108" w:line="249" w:lineRule="auto"/>
        <w:ind w:left="3208" w:right="62" w:hanging="10"/>
        <w:jc w:val="both"/>
      </w:pPr>
      <w:r>
        <w:rPr>
          <w:rFonts w:ascii="Arial" w:eastAsia="Arial" w:hAnsi="Arial" w:cs="Arial"/>
          <w:b/>
          <w:i/>
        </w:rPr>
        <w:t xml:space="preserve">Fundamentos de derecho   </w:t>
      </w:r>
    </w:p>
    <w:p w:rsidR="00FA7413" w:rsidRDefault="00D712A8">
      <w:pPr>
        <w:spacing w:after="112" w:line="247" w:lineRule="auto"/>
        <w:ind w:left="355" w:right="62" w:hanging="10"/>
        <w:jc w:val="both"/>
      </w:pPr>
      <w:r>
        <w:rPr>
          <w:rFonts w:ascii="Arial" w:eastAsia="Arial" w:hAnsi="Arial" w:cs="Arial"/>
          <w:i/>
        </w:rPr>
        <w:t xml:space="preserve"> </w:t>
      </w:r>
      <w:r>
        <w:rPr>
          <w:rFonts w:ascii="Arial" w:eastAsia="Arial" w:hAnsi="Arial" w:cs="Arial"/>
          <w:b/>
          <w:i/>
        </w:rPr>
        <w:t>Primero. -</w:t>
      </w:r>
      <w:r>
        <w:rPr>
          <w:rFonts w:ascii="Arial" w:eastAsia="Arial" w:hAnsi="Arial" w:cs="Arial"/>
          <w:i/>
        </w:rPr>
        <w:t xml:space="preserve"> Es de aplicación lo dispuesto en el artículo 118 de la constitución que establece: Es obligado cumplir las sentencias y demás resoluciones firmes</w:t>
      </w:r>
      <w:r>
        <w:rPr>
          <w:rFonts w:ascii="Arial" w:eastAsia="Arial" w:hAnsi="Arial" w:cs="Arial"/>
          <w:i/>
        </w:rPr>
        <w:t xml:space="preserve"> de los Jueces y Tribunales, así como prestar la colaboración requerida por éstos en el curso del proceso y en la ejecución de lo resuelto.</w:t>
      </w:r>
      <w:r>
        <w:rPr>
          <w:rFonts w:ascii="Arial" w:eastAsia="Arial" w:hAnsi="Arial" w:cs="Arial"/>
        </w:rPr>
        <w:t xml:space="preserve"> </w:t>
      </w:r>
    </w:p>
    <w:p w:rsidR="00FA7413" w:rsidRDefault="00D712A8">
      <w:pPr>
        <w:spacing w:after="112" w:line="247" w:lineRule="auto"/>
        <w:ind w:left="345" w:right="62" w:firstLine="708"/>
        <w:jc w:val="both"/>
      </w:pPr>
      <w:r>
        <w:rPr>
          <w:rFonts w:ascii="Arial" w:eastAsia="Arial" w:hAnsi="Arial" w:cs="Arial"/>
          <w:b/>
          <w:i/>
        </w:rPr>
        <w:t>Segundo. -</w:t>
      </w:r>
      <w:r>
        <w:rPr>
          <w:rFonts w:ascii="Arial" w:eastAsia="Arial" w:hAnsi="Arial" w:cs="Arial"/>
          <w:i/>
        </w:rPr>
        <w:t xml:space="preserve"> </w:t>
      </w:r>
      <w:r>
        <w:rPr>
          <w:rFonts w:ascii="Arial" w:eastAsia="Arial" w:hAnsi="Arial" w:cs="Arial"/>
          <w:i/>
        </w:rPr>
        <w:t>Es de aplicación lo dispuesto en el artículo 103.2 de la Ley 29/1998, de 13 de julio, de la Jurisdicción Contencioso-Administrativa que establece: 2. Las partes están obligadas a cumplir las sentencias en la forma y términos que en éstas se consignen.</w:t>
      </w:r>
      <w:r>
        <w:rPr>
          <w:rFonts w:ascii="Arial" w:eastAsia="Arial" w:hAnsi="Arial" w:cs="Arial"/>
        </w:rPr>
        <w:t xml:space="preserve"> </w:t>
      </w:r>
    </w:p>
    <w:p w:rsidR="00FA7413" w:rsidRDefault="00D712A8">
      <w:pPr>
        <w:spacing w:after="98"/>
        <w:ind w:left="1068"/>
      </w:pPr>
      <w:r>
        <w:rPr>
          <w:rFonts w:ascii="Arial" w:eastAsia="Arial" w:hAnsi="Arial" w:cs="Arial"/>
          <w:i/>
        </w:rPr>
        <w:t xml:space="preserve"> </w:t>
      </w:r>
    </w:p>
    <w:p w:rsidR="00FA7413" w:rsidRDefault="00D712A8">
      <w:pPr>
        <w:spacing w:after="110" w:line="249" w:lineRule="auto"/>
        <w:ind w:left="3208" w:right="62" w:hanging="10"/>
        <w:jc w:val="both"/>
      </w:pPr>
      <w:r>
        <w:rPr>
          <w:rFonts w:ascii="Arial" w:eastAsia="Arial" w:hAnsi="Arial" w:cs="Arial"/>
          <w:b/>
          <w:i/>
        </w:rPr>
        <w:t>P</w:t>
      </w:r>
      <w:r>
        <w:rPr>
          <w:rFonts w:ascii="Arial" w:eastAsia="Arial" w:hAnsi="Arial" w:cs="Arial"/>
          <w:b/>
          <w:i/>
        </w:rPr>
        <w:t xml:space="preserve">ropuesta de Resolución: </w:t>
      </w:r>
    </w:p>
    <w:p w:rsidR="00FA7413" w:rsidRDefault="00D712A8">
      <w:pPr>
        <w:spacing w:after="108" w:line="249" w:lineRule="auto"/>
        <w:ind w:left="1789" w:right="62" w:hanging="10"/>
        <w:jc w:val="both"/>
      </w:pPr>
      <w:r>
        <w:rPr>
          <w:rFonts w:ascii="Arial" w:eastAsia="Arial" w:hAnsi="Arial" w:cs="Arial"/>
          <w:b/>
          <w:i/>
        </w:rPr>
        <w:t xml:space="preserve">Por lo expuesto se eleva al Pleno la siguiente propuesta: </w:t>
      </w:r>
    </w:p>
    <w:p w:rsidR="00FA7413" w:rsidRDefault="00D712A8">
      <w:pPr>
        <w:spacing w:after="112" w:line="247" w:lineRule="auto"/>
        <w:ind w:left="345" w:right="62" w:firstLine="708"/>
        <w:jc w:val="both"/>
      </w:pPr>
      <w:r>
        <w:rPr>
          <w:rFonts w:ascii="Arial" w:eastAsia="Arial" w:hAnsi="Arial" w:cs="Arial"/>
          <w:b/>
          <w:i/>
        </w:rPr>
        <w:t>Primero. -</w:t>
      </w:r>
      <w:r>
        <w:rPr>
          <w:rFonts w:ascii="Arial" w:eastAsia="Arial" w:hAnsi="Arial" w:cs="Arial"/>
          <w:i/>
        </w:rPr>
        <w:t xml:space="preserve"> Tomar conocimiento de la Sentencia de 8 de julio de 2011. Procedimiento ordinario 258/2007. Sala de lo Contencioso-</w:t>
      </w:r>
      <w:r>
        <w:rPr>
          <w:rFonts w:ascii="Arial" w:eastAsia="Arial" w:hAnsi="Arial" w:cs="Arial"/>
          <w:i/>
        </w:rPr>
        <w:t>Administrativo del Tribunal Superior de Justicia de Canarias. Sección Segunda. Santa Cruz de Tenerife, que estima el recurso interpuesto por Don Felipe González Santos contra el acuerdo de la Comisión de Ordenación del Territorio y Medio Ambiente de Canari</w:t>
      </w:r>
      <w:r>
        <w:rPr>
          <w:rFonts w:ascii="Arial" w:eastAsia="Arial" w:hAnsi="Arial" w:cs="Arial"/>
          <w:i/>
        </w:rPr>
        <w:t>as (COTMAC) del Gobierno de Canarias de 20 de julio de 2006 y de corrección de errores de 10 de noviembre de 2006 por el que se aprobó definitivamente el Plan General de Ordenación Urbana del municipio de Candelaria (BOC de 8 de mayo y 10 de mayo de 2007).</w:t>
      </w:r>
      <w:r>
        <w:rPr>
          <w:rFonts w:ascii="Arial" w:eastAsia="Arial" w:hAnsi="Arial" w:cs="Arial"/>
        </w:rPr>
        <w:t xml:space="preserve"> </w:t>
      </w:r>
    </w:p>
    <w:p w:rsidR="00FA7413" w:rsidRDefault="00D712A8">
      <w:pPr>
        <w:spacing w:after="113" w:line="249" w:lineRule="auto"/>
        <w:ind w:left="10" w:right="61" w:hanging="10"/>
        <w:jc w:val="right"/>
      </w:pPr>
      <w:r>
        <w:rPr>
          <w:rFonts w:ascii="Arial" w:eastAsia="Arial" w:hAnsi="Arial" w:cs="Arial"/>
          <w:b/>
          <w:i/>
        </w:rPr>
        <w:t>Segundo. -</w:t>
      </w:r>
      <w:r>
        <w:rPr>
          <w:rFonts w:ascii="Arial" w:eastAsia="Arial" w:hAnsi="Arial" w:cs="Arial"/>
          <w:i/>
        </w:rPr>
        <w:t xml:space="preserve"> Dar traslado del presente acuerdo a la Secretaría General y a la Oficina Técnica Municipal del Ayuntamiento de Candelaria a los efectos de que se identifique la documentación afectada por el fallo de la sentencia, a fin de estampillar la corre</w:t>
      </w:r>
      <w:r>
        <w:rPr>
          <w:rFonts w:ascii="Arial" w:eastAsia="Arial" w:hAnsi="Arial" w:cs="Arial"/>
          <w:i/>
        </w:rPr>
        <w:t>spondiente diligencia de nulidad tanto en formato papel como el formato electrónico, de conformidad con lo dispuesto en el artículo 104 de la Ley de la Jurisdicción Contencioso-Administrativa.</w:t>
      </w:r>
      <w:r>
        <w:rPr>
          <w:rFonts w:ascii="Arial" w:eastAsia="Arial" w:hAnsi="Arial" w:cs="Arial"/>
        </w:rPr>
        <w:t xml:space="preserve"> </w:t>
      </w:r>
    </w:p>
    <w:p w:rsidR="00FA7413" w:rsidRDefault="00D712A8">
      <w:pPr>
        <w:spacing w:after="112" w:line="247" w:lineRule="auto"/>
        <w:ind w:left="345" w:right="62" w:firstLine="708"/>
        <w:jc w:val="both"/>
      </w:pPr>
      <w:r>
        <w:rPr>
          <w:noProof/>
        </w:rPr>
        <mc:AlternateContent>
          <mc:Choice Requires="wpg">
            <w:drawing>
              <wp:anchor distT="0" distB="0" distL="114300" distR="114300" simplePos="0" relativeHeight="251747328" behindDoc="0" locked="0" layoutInCell="1" allowOverlap="1">
                <wp:simplePos x="0" y="0"/>
                <wp:positionH relativeFrom="page">
                  <wp:posOffset>8664935</wp:posOffset>
                </wp:positionH>
                <wp:positionV relativeFrom="page">
                  <wp:posOffset>6811442</wp:posOffset>
                </wp:positionV>
                <wp:extent cx="161330" cy="3499942"/>
                <wp:effectExtent l="0" t="0" r="0" b="0"/>
                <wp:wrapTopAndBottom/>
                <wp:docPr id="211550" name="Group 211550"/>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0231" name="Rectangle 10231"/>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w:t>
                              </w:r>
                              <w:r>
                                <w:rPr>
                                  <w:rFonts w:ascii="Arial" w:eastAsia="Arial" w:hAnsi="Arial" w:cs="Arial"/>
                                  <w:sz w:val="12"/>
                                </w:rPr>
                                <w:t xml:space="preserve">https://candelaria.sedelectronica.es/ </w:t>
                              </w:r>
                            </w:p>
                          </w:txbxContent>
                        </wps:txbx>
                        <wps:bodyPr horzOverflow="overflow" vert="horz" lIns="0" tIns="0" rIns="0" bIns="0" rtlCol="0">
                          <a:noAutofit/>
                        </wps:bodyPr>
                      </wps:wsp>
                      <wps:wsp>
                        <wps:cNvPr id="10232" name="Rectangle 10232"/>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86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1550" style="width:12.7031pt;height:275.586pt;position:absolute;mso-position-horizontal-relative:page;mso-position-horizontal:absolute;margin-left:682.278pt;mso-position-vertical-relative:page;margin-top:536.334pt;" coordsize="1613,34999">
                <v:rect id="Rectangle 10231"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0232"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86 de 180 </w:t>
                        </w:r>
                      </w:p>
                    </w:txbxContent>
                  </v:textbox>
                </v:rect>
                <w10:wrap type="topAndBottom"/>
              </v:group>
            </w:pict>
          </mc:Fallback>
        </mc:AlternateContent>
      </w:r>
      <w:r>
        <w:rPr>
          <w:rFonts w:ascii="Arial" w:eastAsia="Arial" w:hAnsi="Arial" w:cs="Arial"/>
          <w:b/>
          <w:i/>
        </w:rPr>
        <w:t>Tercero. -</w:t>
      </w:r>
      <w:r>
        <w:rPr>
          <w:rFonts w:ascii="Arial" w:eastAsia="Arial" w:hAnsi="Arial" w:cs="Arial"/>
          <w:i/>
        </w:rPr>
        <w:t xml:space="preserve"> Adicionar un Anexo en la documentación del PGO de Candelaria vigente aprobado por la COTMAC ((BOC de 8 de mayo</w:t>
      </w:r>
      <w:r>
        <w:rPr>
          <w:rFonts w:ascii="Arial" w:eastAsia="Arial" w:hAnsi="Arial" w:cs="Arial"/>
          <w:i/>
        </w:rPr>
        <w:t xml:space="preserve"> y 10 de mayo de 2007) en el  que se incluirá el presente acuerdo una vez publicado a los efectos de dar por cumplida la sentencia firme antedicha de conformidad con el informe técnico emitido por la Arquitecta municipal de 14 de septiembre de 2020.</w:t>
      </w:r>
      <w:r>
        <w:rPr>
          <w:rFonts w:ascii="Arial" w:eastAsia="Arial" w:hAnsi="Arial" w:cs="Arial"/>
        </w:rPr>
        <w:t xml:space="preserve"> </w:t>
      </w:r>
    </w:p>
    <w:p w:rsidR="00FA7413" w:rsidRDefault="00D712A8">
      <w:pPr>
        <w:spacing w:after="112" w:line="247" w:lineRule="auto"/>
        <w:ind w:left="345" w:right="62" w:firstLine="708"/>
        <w:jc w:val="both"/>
      </w:pPr>
      <w:r>
        <w:rPr>
          <w:rFonts w:ascii="Arial" w:eastAsia="Arial" w:hAnsi="Arial" w:cs="Arial"/>
          <w:b/>
          <w:i/>
        </w:rPr>
        <w:t>Cuart</w:t>
      </w:r>
      <w:r>
        <w:rPr>
          <w:rFonts w:ascii="Arial" w:eastAsia="Arial" w:hAnsi="Arial" w:cs="Arial"/>
          <w:b/>
          <w:i/>
        </w:rPr>
        <w:t xml:space="preserve">o. - </w:t>
      </w:r>
      <w:r>
        <w:rPr>
          <w:rFonts w:ascii="Arial" w:eastAsia="Arial" w:hAnsi="Arial" w:cs="Arial"/>
          <w:i/>
        </w:rPr>
        <w:t>El presente acuerdo será publicado en el Boletín Oficial de Canarias y en el Boletín Oficial de la Provincia.</w:t>
      </w:r>
      <w:r>
        <w:rPr>
          <w:rFonts w:ascii="Arial" w:eastAsia="Arial" w:hAnsi="Arial" w:cs="Arial"/>
        </w:rPr>
        <w:t xml:space="preserve"> </w:t>
      </w:r>
    </w:p>
    <w:p w:rsidR="00FA7413" w:rsidRDefault="00D712A8">
      <w:pPr>
        <w:spacing w:after="112" w:line="248" w:lineRule="auto"/>
        <w:ind w:left="355" w:right="62" w:hanging="10"/>
        <w:jc w:val="both"/>
      </w:pPr>
      <w:r>
        <w:rPr>
          <w:rFonts w:ascii="Arial" w:eastAsia="Arial" w:hAnsi="Arial" w:cs="Arial"/>
          <w:b/>
        </w:rPr>
        <w:t>ANEXO: EJECUCIÓN DE SENTENCIA DE LA SALA DE LO CONTENCIOSO-ADMINISTRATIVO DEL TRIBUNAL SUPERIOR DE JUSTICIA DE CANARIAS, SECCIÓN SEGUNDA, DE</w:t>
      </w:r>
      <w:r>
        <w:rPr>
          <w:rFonts w:ascii="Arial" w:eastAsia="Arial" w:hAnsi="Arial" w:cs="Arial"/>
          <w:b/>
        </w:rPr>
        <w:t xml:space="preserve"> 8 DE JULIO DE 2011. PROCEDIMIENTO ORDINARIO 258/2007.  </w:t>
      </w:r>
    </w:p>
    <w:p w:rsidR="00FA7413" w:rsidRDefault="00D712A8">
      <w:pPr>
        <w:spacing w:after="98"/>
        <w:ind w:left="2487"/>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r>
        <w:br w:type="page"/>
      </w:r>
    </w:p>
    <w:p w:rsidR="00FA7413" w:rsidRDefault="00D712A8">
      <w:pPr>
        <w:spacing w:after="47"/>
        <w:ind w:right="422"/>
        <w:jc w:val="right"/>
      </w:pPr>
      <w:r>
        <w:rPr>
          <w:noProof/>
        </w:rPr>
        <mc:AlternateContent>
          <mc:Choice Requires="wpg">
            <w:drawing>
              <wp:anchor distT="0" distB="0" distL="114300" distR="114300" simplePos="0" relativeHeight="251748352" behindDoc="0" locked="0" layoutInCell="1" allowOverlap="1">
                <wp:simplePos x="0" y="0"/>
                <wp:positionH relativeFrom="page">
                  <wp:posOffset>8664935</wp:posOffset>
                </wp:positionH>
                <wp:positionV relativeFrom="page">
                  <wp:posOffset>6811442</wp:posOffset>
                </wp:positionV>
                <wp:extent cx="161330" cy="3499942"/>
                <wp:effectExtent l="0" t="0" r="0" b="0"/>
                <wp:wrapTopAndBottom/>
                <wp:docPr id="210872" name="Group 210872"/>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0259" name="Rectangle 10259"/>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0260" name="Rectangle 10260"/>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87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0872" style="width:12.7031pt;height:275.586pt;position:absolute;mso-position-horizontal-relative:page;mso-position-horizontal:absolute;margin-left:682.278pt;mso-position-vertical-relative:page;margin-top:536.334pt;" coordsize="1613,34999">
                <v:rect id="Rectangle 10259"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0260"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87 de 180 </w:t>
                        </w:r>
                      </w:p>
                    </w:txbxContent>
                  </v:textbox>
                </v:rect>
                <w10:wrap type="topAndBottom"/>
              </v:group>
            </w:pict>
          </mc:Fallback>
        </mc:AlternateContent>
      </w:r>
      <w:r>
        <w:rPr>
          <w:noProof/>
        </w:rPr>
        <w:drawing>
          <wp:inline distT="0" distB="0" distL="0" distR="0">
            <wp:extent cx="5812614" cy="7513083"/>
            <wp:effectExtent l="0" t="0" r="0" b="0"/>
            <wp:docPr id="10256" name="Picture 10256"/>
            <wp:cNvGraphicFramePr/>
            <a:graphic xmlns:a="http://schemas.openxmlformats.org/drawingml/2006/main">
              <a:graphicData uri="http://schemas.openxmlformats.org/drawingml/2006/picture">
                <pic:pic xmlns:pic="http://schemas.openxmlformats.org/drawingml/2006/picture">
                  <pic:nvPicPr>
                    <pic:cNvPr id="10256" name="Picture 10256"/>
                    <pic:cNvPicPr/>
                  </pic:nvPicPr>
                  <pic:blipFill>
                    <a:blip r:embed="rId21"/>
                    <a:stretch>
                      <a:fillRect/>
                    </a:stretch>
                  </pic:blipFill>
                  <pic:spPr>
                    <a:xfrm>
                      <a:off x="0" y="0"/>
                      <a:ext cx="5812614" cy="7513083"/>
                    </a:xfrm>
                    <a:prstGeom prst="rect">
                      <a:avLst/>
                    </a:prstGeom>
                  </pic:spPr>
                </pic:pic>
              </a:graphicData>
            </a:graphic>
          </wp:inline>
        </w:drawing>
      </w:r>
      <w:r>
        <w:rPr>
          <w:rFonts w:ascii="Arial" w:eastAsia="Arial" w:hAnsi="Arial" w:cs="Arial"/>
        </w:rPr>
        <w:t xml:space="preserve"> </w:t>
      </w:r>
    </w:p>
    <w:p w:rsidR="00FA7413" w:rsidRDefault="00D712A8">
      <w:pPr>
        <w:spacing w:after="0"/>
        <w:ind w:left="2487"/>
      </w:pPr>
      <w:r>
        <w:rPr>
          <w:rFonts w:ascii="Arial" w:eastAsia="Arial" w:hAnsi="Arial" w:cs="Arial"/>
          <w:b/>
        </w:rPr>
        <w:t xml:space="preserve"> </w:t>
      </w:r>
    </w:p>
    <w:p w:rsidR="00FA7413" w:rsidRDefault="00D712A8">
      <w:pPr>
        <w:spacing w:after="100"/>
        <w:ind w:left="2487"/>
      </w:pPr>
      <w:r>
        <w:rPr>
          <w:rFonts w:ascii="Arial" w:eastAsia="Arial" w:hAnsi="Arial" w:cs="Arial"/>
          <w:b/>
        </w:rPr>
        <w:t xml:space="preserve"> </w:t>
      </w:r>
    </w:p>
    <w:p w:rsidR="00FA7413" w:rsidRDefault="00D712A8">
      <w:pPr>
        <w:spacing w:after="112" w:line="248" w:lineRule="auto"/>
        <w:ind w:left="1789" w:right="62" w:hanging="10"/>
        <w:jc w:val="both"/>
      </w:pPr>
      <w:r>
        <w:rPr>
          <w:rFonts w:ascii="Arial" w:eastAsia="Arial" w:hAnsi="Arial" w:cs="Arial"/>
          <w:b/>
        </w:rPr>
        <w:t xml:space="preserve">Esta Alcaldía-Presidencia eleva la siguiente propuesta: </w:t>
      </w:r>
    </w:p>
    <w:p w:rsidR="00FA7413" w:rsidRDefault="00D712A8">
      <w:pPr>
        <w:spacing w:after="112" w:line="248" w:lineRule="auto"/>
        <w:ind w:left="345" w:right="62" w:firstLine="708"/>
        <w:jc w:val="both"/>
      </w:pPr>
      <w:r>
        <w:rPr>
          <w:rFonts w:ascii="Arial" w:eastAsia="Arial" w:hAnsi="Arial" w:cs="Arial"/>
          <w:b/>
        </w:rPr>
        <w:t>Primero. - Tomar conocimiento de la Sentencia de 8 de julio de 2011. Procedimiento ordinario 258/2</w:t>
      </w:r>
      <w:r>
        <w:rPr>
          <w:rFonts w:ascii="Arial" w:eastAsia="Arial" w:hAnsi="Arial" w:cs="Arial"/>
          <w:b/>
        </w:rPr>
        <w:t>007. Sala de lo Contencioso-Administrativo del Tribunal Superior de Justicia de Canarias. Sección Segunda. Santa Cruz de Tenerife, que estima el recurso interpuesto por Don Felipe González Santos contra el acuerdo de la Comisión de Ordenación del Territori</w:t>
      </w:r>
      <w:r>
        <w:rPr>
          <w:rFonts w:ascii="Arial" w:eastAsia="Arial" w:hAnsi="Arial" w:cs="Arial"/>
          <w:b/>
        </w:rPr>
        <w:t>o y Medio Ambiente de Canarias (COTMAC) del Gobierno de Canarias de 20 de julio de 2006 y de corrección de errores de 10 de noviembre de 2006 por el que se aprobó definitivamente el Plan General de Ordenación Urbana del municipio de Candelaria (BOC de 8 de</w:t>
      </w:r>
      <w:r>
        <w:rPr>
          <w:rFonts w:ascii="Arial" w:eastAsia="Arial" w:hAnsi="Arial" w:cs="Arial"/>
          <w:b/>
        </w:rPr>
        <w:t xml:space="preserve"> mayo y 10 de mayo de 2007). </w:t>
      </w:r>
    </w:p>
    <w:p w:rsidR="00FA7413" w:rsidRDefault="00D712A8">
      <w:pPr>
        <w:spacing w:after="112" w:line="248" w:lineRule="auto"/>
        <w:ind w:left="345" w:right="62" w:firstLine="708"/>
        <w:jc w:val="both"/>
      </w:pPr>
      <w:r>
        <w:rPr>
          <w:noProof/>
        </w:rPr>
        <mc:AlternateContent>
          <mc:Choice Requires="wpg">
            <w:drawing>
              <wp:anchor distT="0" distB="0" distL="114300" distR="114300" simplePos="0" relativeHeight="251749376" behindDoc="0" locked="0" layoutInCell="1" allowOverlap="1">
                <wp:simplePos x="0" y="0"/>
                <wp:positionH relativeFrom="page">
                  <wp:posOffset>8664935</wp:posOffset>
                </wp:positionH>
                <wp:positionV relativeFrom="page">
                  <wp:posOffset>6811442</wp:posOffset>
                </wp:positionV>
                <wp:extent cx="161330" cy="3499942"/>
                <wp:effectExtent l="0" t="0" r="0" b="0"/>
                <wp:wrapTopAndBottom/>
                <wp:docPr id="210609" name="Group 210609"/>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0344" name="Rectangle 10344"/>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0345" name="Rectangle 10345"/>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88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0609" style="width:12.7031pt;height:275.586pt;position:absolute;mso-position-horizontal-relative:page;mso-position-horizontal:absolute;margin-left:682.278pt;mso-position-vertical-relative:page;margin-top:536.334pt;" coordsize="1613,34999">
                <v:rect id="Rectangle 10344"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0345"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88 de 180 </w:t>
                        </w:r>
                      </w:p>
                    </w:txbxContent>
                  </v:textbox>
                </v:rect>
                <w10:wrap type="topAndBottom"/>
              </v:group>
            </w:pict>
          </mc:Fallback>
        </mc:AlternateContent>
      </w:r>
      <w:r>
        <w:rPr>
          <w:rFonts w:ascii="Arial" w:eastAsia="Arial" w:hAnsi="Arial" w:cs="Arial"/>
          <w:b/>
        </w:rPr>
        <w:t xml:space="preserve">Segundo. - </w:t>
      </w:r>
      <w:r>
        <w:rPr>
          <w:rFonts w:ascii="Arial" w:eastAsia="Arial" w:hAnsi="Arial" w:cs="Arial"/>
          <w:b/>
        </w:rPr>
        <w:t>Dar traslado del presente acuerdo a la Secretaría General y a la Oficina Técnica Municipal del Ayuntamiento de Candelaria a los efectos de que se identifique la documentación afectada por el fallo de la sentencia, a fin de estampillar la correspondiente di</w:t>
      </w:r>
      <w:r>
        <w:rPr>
          <w:rFonts w:ascii="Arial" w:eastAsia="Arial" w:hAnsi="Arial" w:cs="Arial"/>
          <w:b/>
        </w:rPr>
        <w:t xml:space="preserve">ligencia de nulidad tanto en formato papel como el formato electrónico, de conformidad con lo dispuesto en el artículo 104 de la Ley de la Jurisdicción Contencioso-Administrativa. </w:t>
      </w:r>
    </w:p>
    <w:p w:rsidR="00FA7413" w:rsidRDefault="00D712A8">
      <w:pPr>
        <w:spacing w:after="112" w:line="248" w:lineRule="auto"/>
        <w:ind w:left="345" w:right="62" w:firstLine="708"/>
        <w:jc w:val="both"/>
      </w:pPr>
      <w:r>
        <w:rPr>
          <w:rFonts w:ascii="Arial" w:eastAsia="Arial" w:hAnsi="Arial" w:cs="Arial"/>
          <w:b/>
        </w:rPr>
        <w:t>Tercero. - Adicionar un Anexo en la documentación del PGO de Candelaria vig</w:t>
      </w:r>
      <w:r>
        <w:rPr>
          <w:rFonts w:ascii="Arial" w:eastAsia="Arial" w:hAnsi="Arial" w:cs="Arial"/>
          <w:b/>
        </w:rPr>
        <w:t xml:space="preserve">ente aprobado por la COTMAC ((BOC de 8 de mayo y 10 de mayo de 2007) en el que se incluirá el presente acuerdo una vez publicado a los efectos de dar por cumplida la sentencia firme antedicha de conformidad con el informe técnico emitido por la Arquitecta </w:t>
      </w:r>
      <w:r>
        <w:rPr>
          <w:rFonts w:ascii="Arial" w:eastAsia="Arial" w:hAnsi="Arial" w:cs="Arial"/>
          <w:b/>
        </w:rPr>
        <w:t xml:space="preserve">municipal de 14 de septiembre de 2020. </w:t>
      </w:r>
    </w:p>
    <w:p w:rsidR="00FA7413" w:rsidRDefault="00D712A8">
      <w:pPr>
        <w:spacing w:after="112" w:line="248" w:lineRule="auto"/>
        <w:ind w:left="345" w:right="62" w:firstLine="708"/>
        <w:jc w:val="both"/>
      </w:pPr>
      <w:r>
        <w:rPr>
          <w:rFonts w:ascii="Arial" w:eastAsia="Arial" w:hAnsi="Arial" w:cs="Arial"/>
          <w:b/>
        </w:rPr>
        <w:t xml:space="preserve">Cuarto. - El presente acuerdo será publicado en el Boletín Oficial de Canarias y en el Boletín Oficial de la Provincia. </w:t>
      </w:r>
    </w:p>
    <w:p w:rsidR="00FA7413" w:rsidRDefault="00D712A8">
      <w:pPr>
        <w:spacing w:after="112" w:line="248" w:lineRule="auto"/>
        <w:ind w:left="355" w:right="62" w:hanging="10"/>
        <w:jc w:val="both"/>
      </w:pPr>
      <w:r>
        <w:rPr>
          <w:rFonts w:ascii="Arial" w:eastAsia="Arial" w:hAnsi="Arial" w:cs="Arial"/>
          <w:b/>
        </w:rPr>
        <w:t>ANEXO: EJECUCIÓN DE SENTENCIA DE LA SALA DE LO CONTENCIOSO-ADMINISTRATIVO DEL TRIBUNAL SUPERIOR</w:t>
      </w:r>
      <w:r>
        <w:rPr>
          <w:rFonts w:ascii="Arial" w:eastAsia="Arial" w:hAnsi="Arial" w:cs="Arial"/>
          <w:b/>
        </w:rPr>
        <w:t xml:space="preserve"> DE JUSTICIA DE CANARIAS, SECCIÓN SEGUNDA, DE 8 DE JULIO DE 2011. PROCEDIMIENTO ORDINARIO 258/2007.  </w:t>
      </w:r>
    </w:p>
    <w:p w:rsidR="00FA7413" w:rsidRDefault="00D712A8">
      <w:pPr>
        <w:spacing w:after="103"/>
        <w:ind w:left="360"/>
      </w:pPr>
      <w:r>
        <w:rPr>
          <w:rFonts w:ascii="Arial" w:eastAsia="Arial" w:hAnsi="Arial" w:cs="Arial"/>
          <w:b/>
        </w:rPr>
        <w:t xml:space="preserve"> </w:t>
      </w:r>
    </w:p>
    <w:p w:rsidR="00FA7413" w:rsidRDefault="00D712A8">
      <w:pPr>
        <w:spacing w:after="98"/>
        <w:ind w:left="2487"/>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101"/>
        <w:ind w:right="422"/>
        <w:jc w:val="right"/>
      </w:pPr>
      <w:r>
        <w:rPr>
          <w:noProof/>
        </w:rPr>
        <mc:AlternateContent>
          <mc:Choice Requires="wpg">
            <w:drawing>
              <wp:anchor distT="0" distB="0" distL="114300" distR="114300" simplePos="0" relativeHeight="251750400"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1641" name="Group 211641"/>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0374" name="Rectangle 10374"/>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0375" name="Rectangle 10375"/>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89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1641" style="width:12.7031pt;height:275.586pt;position:absolute;mso-position-horizontal-relative:page;mso-position-horizontal:absolute;margin-left:682.278pt;mso-position-vertical-relative:page;margin-top:536.334pt;" coordsize="1613,34999">
                <v:rect id="Rectangle 10374"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0375"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89 de 180 </w:t>
                        </w:r>
                      </w:p>
                    </w:txbxContent>
                  </v:textbox>
                </v:rect>
                <w10:wrap type="square"/>
              </v:group>
            </w:pict>
          </mc:Fallback>
        </mc:AlternateContent>
      </w:r>
      <w:r>
        <w:rPr>
          <w:noProof/>
        </w:rPr>
        <w:drawing>
          <wp:inline distT="0" distB="0" distL="0" distR="0">
            <wp:extent cx="5812614" cy="7513083"/>
            <wp:effectExtent l="0" t="0" r="0" b="0"/>
            <wp:docPr id="10371" name="Picture 10371"/>
            <wp:cNvGraphicFramePr/>
            <a:graphic xmlns:a="http://schemas.openxmlformats.org/drawingml/2006/main">
              <a:graphicData uri="http://schemas.openxmlformats.org/drawingml/2006/picture">
                <pic:pic xmlns:pic="http://schemas.openxmlformats.org/drawingml/2006/picture">
                  <pic:nvPicPr>
                    <pic:cNvPr id="10371" name="Picture 10371"/>
                    <pic:cNvPicPr/>
                  </pic:nvPicPr>
                  <pic:blipFill>
                    <a:blip r:embed="rId21"/>
                    <a:stretch>
                      <a:fillRect/>
                    </a:stretch>
                  </pic:blipFill>
                  <pic:spPr>
                    <a:xfrm>
                      <a:off x="0" y="0"/>
                      <a:ext cx="5812614" cy="7513083"/>
                    </a:xfrm>
                    <a:prstGeom prst="rect">
                      <a:avLst/>
                    </a:prstGeom>
                  </pic:spPr>
                </pic:pic>
              </a:graphicData>
            </a:graphic>
          </wp:inline>
        </w:drawing>
      </w:r>
      <w:r>
        <w:rPr>
          <w:rFonts w:ascii="Arial" w:eastAsia="Arial" w:hAnsi="Arial" w:cs="Arial"/>
        </w:rPr>
        <w:t xml:space="preserve"> </w:t>
      </w:r>
    </w:p>
    <w:p w:rsidR="00FA7413" w:rsidRDefault="00D712A8">
      <w:pPr>
        <w:spacing w:after="3"/>
        <w:ind w:left="370" w:hanging="10"/>
      </w:pPr>
      <w:r>
        <w:rPr>
          <w:rFonts w:ascii="Times New Roman" w:eastAsia="Times New Roman" w:hAnsi="Times New Roman" w:cs="Times New Roman"/>
          <w:b/>
          <w:sz w:val="24"/>
        </w:rPr>
        <w:t xml:space="preserve">“ </w:t>
      </w:r>
    </w:p>
    <w:p w:rsidR="00FA7413" w:rsidRDefault="00D712A8">
      <w:pPr>
        <w:spacing w:after="0" w:line="248" w:lineRule="auto"/>
        <w:ind w:left="355" w:right="62" w:hanging="10"/>
        <w:jc w:val="both"/>
      </w:pPr>
      <w:r>
        <w:rPr>
          <w:rFonts w:ascii="Arial" w:eastAsia="Arial" w:hAnsi="Arial" w:cs="Arial"/>
          <w:b/>
        </w:rPr>
        <w:t xml:space="preserve">DICTAMEN FAVORABLE DE LA COMISIÓN INFORMATIVA DE P.G. URBANÍSTICA Y AMBIENTAL, OBRAS y SERVICIOS PÚBLICOS DE 21 DE JUNIO DE 2021.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 xml:space="preserve">Por el Secretario se procede a dar lectura del oficio de la Secretaría General de 31 de enero de 2020 a Servicios Generales que da origen a la tramitación de estos expedientes que transcrito literalmente dice: </w:t>
      </w:r>
    </w:p>
    <w:p w:rsidR="00FA7413" w:rsidRDefault="00D712A8">
      <w:pPr>
        <w:spacing w:after="14"/>
        <w:ind w:left="360"/>
      </w:pPr>
      <w:r>
        <w:rPr>
          <w:rFonts w:ascii="Arial" w:eastAsia="Arial" w:hAnsi="Arial" w:cs="Arial"/>
          <w:i/>
        </w:rPr>
        <w:t xml:space="preserve"> </w:t>
      </w:r>
    </w:p>
    <w:p w:rsidR="00FA7413" w:rsidRDefault="00D712A8">
      <w:pPr>
        <w:spacing w:after="0" w:line="247" w:lineRule="auto"/>
        <w:ind w:left="355" w:right="62" w:hanging="10"/>
        <w:jc w:val="both"/>
      </w:pPr>
      <w:r>
        <w:rPr>
          <w:rFonts w:ascii="Arial" w:eastAsia="Arial" w:hAnsi="Arial" w:cs="Arial"/>
          <w:i/>
        </w:rPr>
        <w:t>“Visto que según reunión mantenida por la S</w:t>
      </w:r>
      <w:r>
        <w:rPr>
          <w:rFonts w:ascii="Arial" w:eastAsia="Arial" w:hAnsi="Arial" w:cs="Arial"/>
          <w:i/>
        </w:rPr>
        <w:t>ecretaria General con el Área de Urbanismo el 31 de enero de 2020 se ha puesto de conocimiento de la existencia de sentencias firmes que afectan al Plan General de Ordenación vigente del municipio de Candelaria de las que no se ha tomado conocimiento por e</w:t>
      </w:r>
      <w:r>
        <w:rPr>
          <w:rFonts w:ascii="Arial" w:eastAsia="Arial" w:hAnsi="Arial" w:cs="Arial"/>
          <w:i/>
        </w:rPr>
        <w:t xml:space="preserve">l Pleno de la Corporación y en consecuencia no se han ejecutado llevándolas a puro y debido efecto como exige la Ley 29/1998, de la Jurisdicción Contencioso-Administrativa.  </w:t>
      </w:r>
    </w:p>
    <w:p w:rsidR="00FA7413" w:rsidRDefault="00D712A8">
      <w:pPr>
        <w:spacing w:after="0"/>
        <w:ind w:left="360"/>
      </w:pPr>
      <w:r>
        <w:rPr>
          <w:rFonts w:ascii="Arial" w:eastAsia="Arial" w:hAnsi="Arial" w:cs="Arial"/>
        </w:rPr>
        <w:t xml:space="preserve"> </w:t>
      </w:r>
    </w:p>
    <w:p w:rsidR="00FA7413" w:rsidRDefault="00D712A8">
      <w:pPr>
        <w:spacing w:after="0" w:line="247" w:lineRule="auto"/>
        <w:ind w:left="355" w:right="62" w:hanging="10"/>
        <w:jc w:val="both"/>
      </w:pPr>
      <w:r>
        <w:rPr>
          <w:rFonts w:ascii="Arial" w:eastAsia="Arial" w:hAnsi="Arial" w:cs="Arial"/>
          <w:i/>
        </w:rPr>
        <w:t>Visto que ya consta en el expediente 10989/2019 que la Concejal delegada de Pla</w:t>
      </w:r>
      <w:r>
        <w:rPr>
          <w:rFonts w:ascii="Arial" w:eastAsia="Arial" w:hAnsi="Arial" w:cs="Arial"/>
          <w:i/>
        </w:rPr>
        <w:t>nificación y Gestión Urbanística y Ambiental emitió oficio el 12 de noviembre de 2019 solicitando dichas sentencias a Servicios Generales y de las que no se tiene conocimiento que se han remitido para su toma de conocimiento por el pleno y su ejecución cor</w:t>
      </w:r>
      <w:r>
        <w:rPr>
          <w:rFonts w:ascii="Arial" w:eastAsia="Arial" w:hAnsi="Arial" w:cs="Arial"/>
          <w:i/>
        </w:rPr>
        <w:t xml:space="preserve">respondiente.  </w:t>
      </w:r>
    </w:p>
    <w:p w:rsidR="00FA7413" w:rsidRDefault="00D712A8">
      <w:pPr>
        <w:spacing w:after="0"/>
        <w:ind w:left="360"/>
      </w:pPr>
      <w:r>
        <w:rPr>
          <w:rFonts w:ascii="Arial" w:eastAsia="Arial" w:hAnsi="Arial" w:cs="Arial"/>
        </w:rPr>
        <w:t xml:space="preserve"> </w:t>
      </w:r>
    </w:p>
    <w:p w:rsidR="00FA7413" w:rsidRDefault="00D712A8">
      <w:pPr>
        <w:spacing w:after="0" w:line="247" w:lineRule="auto"/>
        <w:ind w:left="355" w:right="62" w:hanging="10"/>
        <w:jc w:val="both"/>
      </w:pPr>
      <w:r>
        <w:rPr>
          <w:noProof/>
        </w:rPr>
        <mc:AlternateContent>
          <mc:Choice Requires="wpg">
            <w:drawing>
              <wp:anchor distT="0" distB="0" distL="114300" distR="114300" simplePos="0" relativeHeight="251751424"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1886" name="Group 211886"/>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0477" name="Rectangle 10477"/>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0478" name="Rectangle 10478"/>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90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1886" style="width:12.7031pt;height:275.586pt;position:absolute;mso-position-horizontal-relative:page;mso-position-horizontal:absolute;margin-left:682.278pt;mso-position-vertical-relative:page;margin-top:536.334pt;" coordsize="1613,34999">
                <v:rect id="Rectangle 10477"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0478"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90 de 180 </w:t>
                        </w:r>
                      </w:p>
                    </w:txbxContent>
                  </v:textbox>
                </v:rect>
                <w10:wrap type="square"/>
              </v:group>
            </w:pict>
          </mc:Fallback>
        </mc:AlternateContent>
      </w:r>
      <w:r>
        <w:rPr>
          <w:rFonts w:ascii="Arial" w:eastAsia="Arial" w:hAnsi="Arial" w:cs="Arial"/>
          <w:i/>
        </w:rPr>
        <w:t>Se le solicita al Departamento de Servici</w:t>
      </w:r>
      <w:r>
        <w:rPr>
          <w:rFonts w:ascii="Arial" w:eastAsia="Arial" w:hAnsi="Arial" w:cs="Arial"/>
          <w:i/>
        </w:rPr>
        <w:t>os Generales, Contratación y Bienes que en el período improrrogable comprendido desde el 3 al 28 de febrero de 2020 remita a Secretaría General debidamente ordenados y clasificados con un oficio de remisión, todos los expedientes originales que obren en es</w:t>
      </w:r>
      <w:r>
        <w:rPr>
          <w:rFonts w:ascii="Arial" w:eastAsia="Arial" w:hAnsi="Arial" w:cs="Arial"/>
          <w:i/>
        </w:rPr>
        <w:t>e Departamento entre el año 2007 hasta el año 2020 sobre sentencias resultantes de impugnaciones del orden jurisdiccional contencioso-administrativo relativas al Plan General de Ordenación actualmente vigente publicado en el BOP de 17 de mayo de 2007 a los</w:t>
      </w:r>
      <w:r>
        <w:rPr>
          <w:rFonts w:ascii="Arial" w:eastAsia="Arial" w:hAnsi="Arial" w:cs="Arial"/>
          <w:i/>
        </w:rPr>
        <w:t xml:space="preserve"> efectos de preparar el expediente con los informes técnicos y jurídicos correspondientes para su toma de conocimiento por el Pleno ordinario de marzo y la ejecución y cumplimiento de dichas sentencias”.</w:t>
      </w:r>
      <w:r>
        <w:rPr>
          <w:rFonts w:ascii="Times New Roman" w:eastAsia="Times New Roman" w:hAnsi="Times New Roman" w:cs="Times New Roman"/>
          <w:sz w:val="24"/>
        </w:rPr>
        <w:t xml:space="preserve"> </w:t>
      </w:r>
    </w:p>
    <w:p w:rsidR="00FA7413" w:rsidRDefault="00D712A8">
      <w:pPr>
        <w:spacing w:after="0"/>
        <w:ind w:left="360"/>
      </w:pPr>
      <w:r>
        <w:rPr>
          <w:rFonts w:ascii="Arial" w:eastAsia="Arial" w:hAnsi="Arial" w:cs="Arial"/>
          <w:b/>
          <w:i/>
        </w:rPr>
        <w:t xml:space="preserve"> </w:t>
      </w:r>
    </w:p>
    <w:p w:rsidR="00FA7413" w:rsidRDefault="00D712A8">
      <w:pPr>
        <w:spacing w:after="11" w:line="248" w:lineRule="auto"/>
        <w:ind w:left="355" w:right="62" w:hanging="10"/>
        <w:jc w:val="both"/>
      </w:pPr>
      <w:r>
        <w:rPr>
          <w:rFonts w:ascii="Arial" w:eastAsia="Arial" w:hAnsi="Arial" w:cs="Arial"/>
          <w:b/>
        </w:rPr>
        <w:t xml:space="preserve">Los 7 concejales presentes tomaron conocimiento: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 xml:space="preserve">Los 4 concejales del Grupo Socialista: Doña Hilaria Cecilia Otazo González, Don José Francisco Pinto Ramos, Doña María del Carmen Clemente Díaz y Don Olegario Francisco Alonso Bello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La concejal del Grupo Popular, Doña Raquel Martín Castro.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 xml:space="preserve">La 2 concejalas del Grupo Mixto: Doña Lourdes del Carmen Mondéjar Rondón (SSP),  y Doña Ángela Cruz Perera (CC).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3516" w:hanging="10"/>
        <w:jc w:val="both"/>
      </w:pPr>
      <w:r>
        <w:rPr>
          <w:rFonts w:ascii="Arial" w:eastAsia="Arial" w:hAnsi="Arial" w:cs="Arial"/>
          <w:b/>
        </w:rPr>
        <w:t xml:space="preserve">JUNTA DE PORTAVOCES DE 21 DE JUNIO DE 2021  </w:t>
      </w:r>
      <w:r>
        <w:rPr>
          <w:rFonts w:ascii="Arial" w:eastAsia="Arial" w:hAnsi="Arial" w:cs="Arial"/>
        </w:rPr>
        <w:t xml:space="preserve">Quedó oída.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355" w:right="62" w:hanging="10"/>
        <w:jc w:val="both"/>
      </w:pPr>
      <w:r>
        <w:rPr>
          <w:rFonts w:ascii="Arial" w:eastAsia="Arial" w:hAnsi="Arial" w:cs="Arial"/>
          <w:b/>
        </w:rPr>
        <w:t xml:space="preserve">TOMA DE CONOCIMIENTO EN EL PLENO DE 24 DE JUNIO DE 2021.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Los 18 concejales presentes tomaron conocimiento: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45" w:right="64" w:firstLine="708"/>
        <w:jc w:val="both"/>
      </w:pPr>
      <w:r>
        <w:rPr>
          <w:rFonts w:ascii="Arial" w:eastAsia="Arial" w:hAnsi="Arial" w:cs="Arial"/>
        </w:rPr>
        <w:t>11 concejales del Grupo Socialista: Doña María Concepción Brito Núñez, Don Jorge Baute Delgado, Doña Olivia Concepción Pérez Díaz, Don José Francisco Pinto Ramos, Doña Hilaria Cecilia Otazo González, Don</w:t>
      </w:r>
      <w:r>
        <w:rPr>
          <w:rFonts w:ascii="Arial" w:eastAsia="Arial" w:hAnsi="Arial" w:cs="Arial"/>
        </w:rPr>
        <w:t xml:space="preserve"> Airam Pérez Chinea, Doña Margarita Eva Tendero Barroso, Don </w:t>
      </w:r>
    </w:p>
    <w:p w:rsidR="00FA7413" w:rsidRDefault="00D712A8">
      <w:pPr>
        <w:spacing w:after="109" w:line="248" w:lineRule="auto"/>
        <w:ind w:left="355" w:right="64" w:hanging="10"/>
        <w:jc w:val="both"/>
      </w:pPr>
      <w:r>
        <w:rPr>
          <w:rFonts w:ascii="Arial" w:eastAsia="Arial" w:hAnsi="Arial" w:cs="Arial"/>
        </w:rPr>
        <w:t xml:space="preserve">Manuel Alberto González Pestano, Doña María del Carmen Clemente Díaz, Don Olegario Francisco Alonso Bello y Don Reinaldo José Triviño Blanco. </w:t>
      </w:r>
    </w:p>
    <w:p w:rsidR="00FA7413" w:rsidRDefault="00D712A8">
      <w:pPr>
        <w:spacing w:after="109" w:line="248" w:lineRule="auto"/>
        <w:ind w:left="345" w:right="64" w:firstLine="708"/>
        <w:jc w:val="both"/>
      </w:pPr>
      <w:r>
        <w:rPr>
          <w:rFonts w:ascii="Arial" w:eastAsia="Arial" w:hAnsi="Arial" w:cs="Arial"/>
        </w:rPr>
        <w:t xml:space="preserve">3 concejales del Grupo Popular: Don Andrés Rodríguez Delgado, Don Jacobo López Fariña y Doña Raquel Martín Castro. </w:t>
      </w:r>
    </w:p>
    <w:p w:rsidR="00FA7413" w:rsidRDefault="00D712A8">
      <w:pPr>
        <w:spacing w:after="109" w:line="248" w:lineRule="auto"/>
        <w:ind w:left="345" w:right="64" w:firstLine="708"/>
        <w:jc w:val="both"/>
      </w:pPr>
      <w:r>
        <w:rPr>
          <w:rFonts w:ascii="Arial" w:eastAsia="Arial" w:hAnsi="Arial" w:cs="Arial"/>
        </w:rPr>
        <w:t>3 de los concejales del Grupo Mixto: Don Antonio Delgado García y Doña Lourdes del Carmen Mondéjar Rondón (SSP) y  Doña Ángela Cruz Perera (</w:t>
      </w:r>
      <w:r>
        <w:rPr>
          <w:rFonts w:ascii="Arial" w:eastAsia="Arial" w:hAnsi="Arial" w:cs="Arial"/>
        </w:rPr>
        <w:t xml:space="preserve">CC). </w:t>
      </w:r>
    </w:p>
    <w:p w:rsidR="00FA7413" w:rsidRDefault="00D712A8">
      <w:pPr>
        <w:spacing w:after="109" w:line="248" w:lineRule="auto"/>
        <w:ind w:left="1078" w:right="64" w:hanging="10"/>
        <w:jc w:val="both"/>
      </w:pPr>
      <w:r>
        <w:rPr>
          <w:rFonts w:ascii="Arial" w:eastAsia="Arial" w:hAnsi="Arial" w:cs="Arial"/>
        </w:rPr>
        <w:t xml:space="preserve">1 de la concejal del Grupo Mixto (VxC): Doña Alicia Mercedes Marrero Meneses.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0"/>
        <w:ind w:left="346"/>
        <w:jc w:val="center"/>
      </w:pPr>
      <w:r>
        <w:rPr>
          <w:rFonts w:ascii="Arial" w:eastAsia="Arial" w:hAnsi="Arial" w:cs="Arial"/>
          <w:b/>
        </w:rPr>
        <w:t xml:space="preserve"> </w:t>
      </w:r>
    </w:p>
    <w:p w:rsidR="00FA7413" w:rsidRDefault="00D712A8">
      <w:pPr>
        <w:spacing w:after="0"/>
        <w:ind w:left="346"/>
        <w:jc w:val="center"/>
      </w:pPr>
      <w:r>
        <w:rPr>
          <w:rFonts w:ascii="Arial" w:eastAsia="Arial" w:hAnsi="Arial" w:cs="Arial"/>
          <w:b/>
        </w:rPr>
        <w:t xml:space="preserve"> </w:t>
      </w:r>
    </w:p>
    <w:p w:rsidR="00FA7413" w:rsidRDefault="00D712A8">
      <w:pPr>
        <w:spacing w:after="0"/>
        <w:ind w:left="346"/>
        <w:jc w:val="center"/>
      </w:pPr>
      <w:r>
        <w:rPr>
          <w:rFonts w:ascii="Arial" w:eastAsia="Arial" w:hAnsi="Arial" w:cs="Arial"/>
          <w:b/>
        </w:rPr>
        <w:t xml:space="preserve"> </w:t>
      </w:r>
    </w:p>
    <w:p w:rsidR="00FA7413" w:rsidRDefault="00D712A8">
      <w:pPr>
        <w:spacing w:after="0"/>
        <w:ind w:left="1013" w:right="721" w:hanging="10"/>
        <w:jc w:val="center"/>
      </w:pPr>
      <w:r>
        <w:rPr>
          <w:rFonts w:ascii="Arial" w:eastAsia="Arial" w:hAnsi="Arial" w:cs="Arial"/>
          <w:b/>
        </w:rPr>
        <w:t xml:space="preserve">ACUERDO DEL PLENO DE 24 DE JUNIO DE 2021. </w:t>
      </w:r>
    </w:p>
    <w:p w:rsidR="00FA7413" w:rsidRDefault="00D712A8">
      <w:pPr>
        <w:spacing w:after="0"/>
        <w:ind w:left="346"/>
        <w:jc w:val="center"/>
      </w:pPr>
      <w:r>
        <w:rPr>
          <w:rFonts w:ascii="Arial" w:eastAsia="Arial" w:hAnsi="Arial" w:cs="Arial"/>
          <w:b/>
        </w:rPr>
        <w:t xml:space="preserve"> </w:t>
      </w:r>
    </w:p>
    <w:p w:rsidR="00FA7413" w:rsidRDefault="00D712A8">
      <w:pPr>
        <w:spacing w:after="112" w:line="248" w:lineRule="auto"/>
        <w:ind w:left="345" w:right="62" w:firstLine="708"/>
        <w:jc w:val="both"/>
      </w:pPr>
      <w:r>
        <w:rPr>
          <w:noProof/>
        </w:rPr>
        <mc:AlternateContent>
          <mc:Choice Requires="wpg">
            <w:drawing>
              <wp:anchor distT="0" distB="0" distL="114300" distR="114300" simplePos="0" relativeHeight="251752448"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2280" name="Group 212280"/>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0587" name="Rectangle 10587"/>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0588" name="Rectangle 10588"/>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91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2280" style="width:12.7031pt;height:275.586pt;position:absolute;mso-position-horizontal-relative:page;mso-position-horizontal:absolute;margin-left:682.278pt;mso-position-vertical-relative:page;margin-top:536.334pt;" coordsize="1613,34999">
                <v:rect id="Rectangle 10587"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0588"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91 de 180 </w:t>
                        </w:r>
                      </w:p>
                    </w:txbxContent>
                  </v:textbox>
                </v:rect>
                <w10:wrap type="square"/>
              </v:group>
            </w:pict>
          </mc:Fallback>
        </mc:AlternateContent>
      </w:r>
      <w:r>
        <w:rPr>
          <w:rFonts w:ascii="Arial" w:eastAsia="Arial" w:hAnsi="Arial" w:cs="Arial"/>
          <w:b/>
        </w:rPr>
        <w:t>Primero. - Tomar conocimiento de la Sentencia de 8 de julio de 2011. Procedimiento ordinario 258/2007. Sala de lo Contencioso-Administrativo del Tribunal Superior</w:t>
      </w:r>
      <w:r>
        <w:rPr>
          <w:rFonts w:ascii="Arial" w:eastAsia="Arial" w:hAnsi="Arial" w:cs="Arial"/>
          <w:b/>
        </w:rPr>
        <w:t xml:space="preserve"> de Justicia de Canarias. Sección Segunda. Santa Cruz de Tenerife, que estima el recurso interpuesto por Don Felipe González Santos contra el acuerdo de la Comisión de Ordenación del Territorio y Medio Ambiente de Canarias (COTMAC) del Gobierno de Canarias</w:t>
      </w:r>
      <w:r>
        <w:rPr>
          <w:rFonts w:ascii="Arial" w:eastAsia="Arial" w:hAnsi="Arial" w:cs="Arial"/>
          <w:b/>
        </w:rPr>
        <w:t xml:space="preserve"> de 20 de julio de 2006 y de corrección de errores de 10 de noviembre de 2006 por el que se aprobó definitivamente el Plan General de Ordenación Urbana del municipio de Candelaria (BOC de 8 de mayo y 10 de mayo de 2007). </w:t>
      </w:r>
    </w:p>
    <w:p w:rsidR="00FA7413" w:rsidRDefault="00D712A8">
      <w:pPr>
        <w:spacing w:after="112" w:line="248" w:lineRule="auto"/>
        <w:ind w:left="345" w:right="62" w:firstLine="708"/>
        <w:jc w:val="both"/>
      </w:pPr>
      <w:r>
        <w:rPr>
          <w:rFonts w:ascii="Arial" w:eastAsia="Arial" w:hAnsi="Arial" w:cs="Arial"/>
          <w:b/>
        </w:rPr>
        <w:t>Segundo. - Dar traslado del presen</w:t>
      </w:r>
      <w:r>
        <w:rPr>
          <w:rFonts w:ascii="Arial" w:eastAsia="Arial" w:hAnsi="Arial" w:cs="Arial"/>
          <w:b/>
        </w:rPr>
        <w:t>te acuerdo a la Secretaría General y a la Oficina Técnica Municipal del Ayuntamiento de Candelaria a los efectos de que se identifique la documentación afectada por el fallo de la sentencia, a fin de estampillar la correspondiente diligencia de nulidad tan</w:t>
      </w:r>
      <w:r>
        <w:rPr>
          <w:rFonts w:ascii="Arial" w:eastAsia="Arial" w:hAnsi="Arial" w:cs="Arial"/>
          <w:b/>
        </w:rPr>
        <w:t xml:space="preserve">to en formato papel como el formato electrónico, de conformidad con lo dispuesto en el artículo 104 de la Ley de la Jurisdicción Contencioso-Administrativa. </w:t>
      </w:r>
    </w:p>
    <w:p w:rsidR="00FA7413" w:rsidRDefault="00D712A8">
      <w:pPr>
        <w:spacing w:after="112" w:line="248" w:lineRule="auto"/>
        <w:ind w:left="345" w:right="62" w:firstLine="708"/>
        <w:jc w:val="both"/>
      </w:pPr>
      <w:r>
        <w:rPr>
          <w:rFonts w:ascii="Arial" w:eastAsia="Arial" w:hAnsi="Arial" w:cs="Arial"/>
          <w:b/>
        </w:rPr>
        <w:t>Tercero. - Adicionar un Anexo en la documentación del PGO de Candelaria vigente aprobado por la CO</w:t>
      </w:r>
      <w:r>
        <w:rPr>
          <w:rFonts w:ascii="Arial" w:eastAsia="Arial" w:hAnsi="Arial" w:cs="Arial"/>
          <w:b/>
        </w:rPr>
        <w:t>TMAC ((BOC de 8 de mayo y 10 de mayo de 2007) en el que se incluirá el presente acuerdo una vez publicado a los efectos de dar por cumplida la sentencia firme antedicha de conformidad con el informe técnico emitido por la Arquitecta municipal de 14 de sept</w:t>
      </w:r>
      <w:r>
        <w:rPr>
          <w:rFonts w:ascii="Arial" w:eastAsia="Arial" w:hAnsi="Arial" w:cs="Arial"/>
          <w:b/>
        </w:rPr>
        <w:t xml:space="preserve">iembre de 2020. </w:t>
      </w:r>
    </w:p>
    <w:p w:rsidR="00FA7413" w:rsidRDefault="00D712A8">
      <w:pPr>
        <w:spacing w:after="112" w:line="248" w:lineRule="auto"/>
        <w:ind w:left="345" w:right="62" w:firstLine="708"/>
        <w:jc w:val="both"/>
      </w:pPr>
      <w:r>
        <w:rPr>
          <w:rFonts w:ascii="Arial" w:eastAsia="Arial" w:hAnsi="Arial" w:cs="Arial"/>
          <w:b/>
        </w:rPr>
        <w:t xml:space="preserve">Cuarto. - El presente acuerdo será publicado en el Boletín Oficial de Canarias y en el Boletín Oficial de la Provincia. </w:t>
      </w:r>
    </w:p>
    <w:p w:rsidR="00FA7413" w:rsidRDefault="00D712A8">
      <w:pPr>
        <w:spacing w:after="112" w:line="248" w:lineRule="auto"/>
        <w:ind w:left="355" w:right="62" w:hanging="10"/>
        <w:jc w:val="both"/>
      </w:pPr>
      <w:r>
        <w:rPr>
          <w:rFonts w:ascii="Arial" w:eastAsia="Arial" w:hAnsi="Arial" w:cs="Arial"/>
          <w:b/>
        </w:rPr>
        <w:t>ANEXO: EJECUCIÓN DE SENTENCIA DE LA SALA DE LO CONTENCIOSO-ADMINISTRATIVO DEL TRIBUNAL SUPERIOR DE JUSTICIA DE CANARIA</w:t>
      </w:r>
      <w:r>
        <w:rPr>
          <w:rFonts w:ascii="Arial" w:eastAsia="Arial" w:hAnsi="Arial" w:cs="Arial"/>
          <w:b/>
        </w:rPr>
        <w:t xml:space="preserve">S, SECCIÓN SEGUNDA, DE 8 DE JULIO DE 2011. PROCEDIMIENTO ORDINARIO 258/2007.  </w:t>
      </w:r>
    </w:p>
    <w:p w:rsidR="00FA7413" w:rsidRDefault="00D712A8">
      <w:pPr>
        <w:spacing w:after="100"/>
        <w:ind w:left="360"/>
      </w:pPr>
      <w:r>
        <w:rPr>
          <w:rFonts w:ascii="Arial" w:eastAsia="Arial" w:hAnsi="Arial" w:cs="Arial"/>
          <w:b/>
        </w:rPr>
        <w:t xml:space="preserve"> </w:t>
      </w:r>
    </w:p>
    <w:p w:rsidR="00FA7413" w:rsidRDefault="00D712A8">
      <w:pPr>
        <w:spacing w:after="100"/>
        <w:ind w:left="2487"/>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101"/>
        <w:ind w:right="422"/>
        <w:jc w:val="right"/>
      </w:pPr>
      <w:r>
        <w:rPr>
          <w:noProof/>
        </w:rPr>
        <mc:AlternateContent>
          <mc:Choice Requires="wpg">
            <w:drawing>
              <wp:anchor distT="0" distB="0" distL="114300" distR="114300" simplePos="0" relativeHeight="251753472"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2067" name="Group 212067"/>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0623" name="Rectangle 10623"/>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0624" name="Rectangle 10624"/>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Documento firmado electrónicamente desde la plataforma esPublico Ges</w:t>
                              </w:r>
                              <w:r>
                                <w:rPr>
                                  <w:rFonts w:ascii="Arial" w:eastAsia="Arial" w:hAnsi="Arial" w:cs="Arial"/>
                                  <w:sz w:val="12"/>
                                </w:rPr>
                                <w:t xml:space="preserve">tiona | Página 92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2067" style="width:12.7031pt;height:275.586pt;position:absolute;mso-position-horizontal-relative:page;mso-position-horizontal:absolute;margin-left:682.278pt;mso-position-vertical-relative:page;margin-top:536.334pt;" coordsize="1613,34999">
                <v:rect id="Rectangle 10623"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0624"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92 de 180 </w:t>
                        </w:r>
                      </w:p>
                    </w:txbxContent>
                  </v:textbox>
                </v:rect>
                <w10:wrap type="square"/>
              </v:group>
            </w:pict>
          </mc:Fallback>
        </mc:AlternateContent>
      </w:r>
      <w:r>
        <w:rPr>
          <w:noProof/>
        </w:rPr>
        <w:drawing>
          <wp:inline distT="0" distB="0" distL="0" distR="0">
            <wp:extent cx="5812614" cy="7513083"/>
            <wp:effectExtent l="0" t="0" r="0" b="0"/>
            <wp:docPr id="10620" name="Picture 10620"/>
            <wp:cNvGraphicFramePr/>
            <a:graphic xmlns:a="http://schemas.openxmlformats.org/drawingml/2006/main">
              <a:graphicData uri="http://schemas.openxmlformats.org/drawingml/2006/picture">
                <pic:pic xmlns:pic="http://schemas.openxmlformats.org/drawingml/2006/picture">
                  <pic:nvPicPr>
                    <pic:cNvPr id="10620" name="Picture 10620"/>
                    <pic:cNvPicPr/>
                  </pic:nvPicPr>
                  <pic:blipFill>
                    <a:blip r:embed="rId21"/>
                    <a:stretch>
                      <a:fillRect/>
                    </a:stretch>
                  </pic:blipFill>
                  <pic:spPr>
                    <a:xfrm>
                      <a:off x="0" y="0"/>
                      <a:ext cx="5812614" cy="7513083"/>
                    </a:xfrm>
                    <a:prstGeom prst="rect">
                      <a:avLst/>
                    </a:prstGeom>
                  </pic:spPr>
                </pic:pic>
              </a:graphicData>
            </a:graphic>
          </wp:inline>
        </w:drawing>
      </w:r>
      <w:r>
        <w:rPr>
          <w:rFonts w:ascii="Arial" w:eastAsia="Arial" w:hAnsi="Arial" w:cs="Arial"/>
        </w:rPr>
        <w:t xml:space="preserve"> </w:t>
      </w:r>
    </w:p>
    <w:p w:rsidR="00FA7413" w:rsidRDefault="00D712A8">
      <w:pPr>
        <w:spacing w:after="3"/>
        <w:ind w:left="370" w:hanging="10"/>
      </w:pPr>
      <w:r>
        <w:rPr>
          <w:rFonts w:ascii="Times New Roman" w:eastAsia="Times New Roman" w:hAnsi="Times New Roman" w:cs="Times New Roman"/>
          <w:b/>
          <w:sz w:val="24"/>
        </w:rPr>
        <w:t xml:space="preserve">“ </w:t>
      </w:r>
    </w:p>
    <w:p w:rsidR="00FA7413" w:rsidRDefault="00D712A8">
      <w:pPr>
        <w:spacing w:after="93" w:line="249" w:lineRule="auto"/>
        <w:ind w:left="355" w:right="66" w:hanging="10"/>
        <w:jc w:val="both"/>
      </w:pPr>
      <w:r>
        <w:rPr>
          <w:rFonts w:ascii="Arial" w:eastAsia="Arial" w:hAnsi="Arial" w:cs="Arial"/>
          <w:b/>
          <w:sz w:val="24"/>
        </w:rPr>
        <w:t>12.- Expediente 4394/2021. Propuesta de la Alcaldesa-</w:t>
      </w:r>
      <w:r>
        <w:rPr>
          <w:rFonts w:ascii="Arial" w:eastAsia="Arial" w:hAnsi="Arial" w:cs="Arial"/>
          <w:b/>
          <w:sz w:val="24"/>
        </w:rPr>
        <w:t>Presidenta de fecha 14 de junio de 2021 al Pleno de encomienda de gestión a la entidad mercantil del Gobierno de Canarias, “Gestión y Planeamiento Territorial y Medioambiental, S.A.” (GESPLAN, S.A.) a los efectos de su consideración como medio propio perso</w:t>
      </w:r>
      <w:r>
        <w:rPr>
          <w:rFonts w:ascii="Arial" w:eastAsia="Arial" w:hAnsi="Arial" w:cs="Arial"/>
          <w:b/>
          <w:sz w:val="24"/>
        </w:rPr>
        <w:t>nificado y destinataria de encargos y encomiendas que le realice el Ayuntamiento de Candelaria.</w:t>
      </w:r>
      <w:r>
        <w:rPr>
          <w:rFonts w:ascii="Arial" w:eastAsia="Arial" w:hAnsi="Arial" w:cs="Arial"/>
        </w:rPr>
        <w:t xml:space="preserve"> </w:t>
      </w:r>
    </w:p>
    <w:p w:rsidR="00FA7413" w:rsidRDefault="00D712A8">
      <w:pPr>
        <w:spacing w:after="101"/>
        <w:ind w:left="360"/>
      </w:pPr>
      <w:r>
        <w:rPr>
          <w:rFonts w:ascii="Arial" w:eastAsia="Arial" w:hAnsi="Arial" w:cs="Arial"/>
          <w:b/>
        </w:rPr>
        <w:t xml:space="preserve"> </w:t>
      </w:r>
    </w:p>
    <w:p w:rsidR="00FA7413" w:rsidRDefault="00D712A8">
      <w:pPr>
        <w:spacing w:after="112" w:line="248" w:lineRule="auto"/>
        <w:ind w:left="355" w:right="62" w:hanging="10"/>
        <w:jc w:val="both"/>
      </w:pPr>
      <w:r>
        <w:rPr>
          <w:rFonts w:ascii="Arial" w:eastAsia="Arial" w:hAnsi="Arial" w:cs="Arial"/>
          <w:b/>
        </w:rPr>
        <w:t xml:space="preserve">     Consta en el expediente Informe Jurídico emitido por Doña Mª del Pilar Chico Delgado, que desempeña el puesto de Técnico de Administración General, de 1</w:t>
      </w:r>
      <w:r>
        <w:rPr>
          <w:rFonts w:ascii="Arial" w:eastAsia="Arial" w:hAnsi="Arial" w:cs="Arial"/>
          <w:b/>
        </w:rPr>
        <w:t>0 de junio de 2021, conformado por D. Octavio Manuel Fernández Hernández, Secretario General, de 11 de junio de 2021, y debidamente fiscalizado por D. Nicolás Rojo Garnica, Interventor Municipal, de 11 de junio de 2021, del siguiente tenor literal:</w:t>
      </w:r>
      <w:r>
        <w:rPr>
          <w:rFonts w:ascii="Arial" w:eastAsia="Arial" w:hAnsi="Arial" w:cs="Arial"/>
        </w:rPr>
        <w:t xml:space="preserve"> </w:t>
      </w:r>
    </w:p>
    <w:p w:rsidR="00FA7413" w:rsidRDefault="00D712A8">
      <w:pPr>
        <w:spacing w:after="108"/>
        <w:ind w:left="360"/>
      </w:pPr>
      <w:r>
        <w:rPr>
          <w:rFonts w:ascii="Arial" w:eastAsia="Arial" w:hAnsi="Arial" w:cs="Arial"/>
          <w:b/>
        </w:rPr>
        <w:t xml:space="preserve"> </w:t>
      </w:r>
    </w:p>
    <w:p w:rsidR="00FA7413" w:rsidRDefault="00D712A8">
      <w:pPr>
        <w:pStyle w:val="Ttulo1"/>
        <w:ind w:left="1013" w:right="2427"/>
      </w:pPr>
      <w:r>
        <w:t xml:space="preserve">                         “INFORME                             </w:t>
      </w:r>
      <w:r>
        <w:rPr>
          <w:b w:val="0"/>
        </w:rPr>
        <w:t xml:space="preserve"> </w:t>
      </w:r>
    </w:p>
    <w:p w:rsidR="00FA7413" w:rsidRDefault="00D712A8">
      <w:pPr>
        <w:spacing w:after="112" w:line="248" w:lineRule="auto"/>
        <w:ind w:left="355" w:right="62" w:hanging="10"/>
        <w:jc w:val="both"/>
      </w:pPr>
      <w:r>
        <w:rPr>
          <w:rFonts w:ascii="Arial" w:eastAsia="Arial" w:hAnsi="Arial" w:cs="Arial"/>
          <w:b/>
        </w:rPr>
        <w:t>Visto el expediente antedicho, la funcionaria Mª del Pilar Chico Delgado, que ocupa el puesto de trabajo de técnico de dm.gral., conformado por el Secretario General, debidamente fiscalizado f</w:t>
      </w:r>
      <w:r>
        <w:rPr>
          <w:rFonts w:ascii="Arial" w:eastAsia="Arial" w:hAnsi="Arial" w:cs="Arial"/>
          <w:b/>
        </w:rPr>
        <w:t>avorablemente por el Interventor Municipal, emite el siguiente informe:</w:t>
      </w:r>
      <w:r>
        <w:rPr>
          <w:rFonts w:ascii="Arial" w:eastAsia="Arial" w:hAnsi="Arial" w:cs="Arial"/>
        </w:rPr>
        <w:t xml:space="preserve"> </w:t>
      </w:r>
    </w:p>
    <w:p w:rsidR="00FA7413" w:rsidRDefault="00D712A8">
      <w:pPr>
        <w:spacing w:after="95"/>
        <w:ind w:left="360"/>
      </w:pPr>
      <w:r>
        <w:rPr>
          <w:rFonts w:ascii="Arial" w:eastAsia="Arial" w:hAnsi="Arial" w:cs="Arial"/>
        </w:rPr>
        <w:t xml:space="preserve">  </w:t>
      </w:r>
    </w:p>
    <w:p w:rsidR="00FA7413" w:rsidRDefault="00D712A8">
      <w:pPr>
        <w:pStyle w:val="Ttulo1"/>
        <w:ind w:left="1013" w:right="716"/>
      </w:pPr>
      <w:r>
        <w:t xml:space="preserve">Antecedentes de hecho </w:t>
      </w:r>
      <w:r>
        <w:rPr>
          <w:b w:val="0"/>
        </w:rPr>
        <w:t xml:space="preserve"> </w:t>
      </w:r>
    </w:p>
    <w:p w:rsidR="00FA7413" w:rsidRDefault="00D712A8">
      <w:pPr>
        <w:spacing w:after="109" w:line="248" w:lineRule="auto"/>
        <w:ind w:left="355" w:right="64" w:hanging="10"/>
        <w:jc w:val="both"/>
      </w:pPr>
      <w:r>
        <w:rPr>
          <w:noProof/>
        </w:rPr>
        <mc:AlternateContent>
          <mc:Choice Requires="wpg">
            <w:drawing>
              <wp:anchor distT="0" distB="0" distL="114300" distR="114300" simplePos="0" relativeHeight="251754496"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7188" name="Group 217188"/>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0773" name="Rectangle 10773"/>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0774" name="Rectangle 10774"/>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93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7188" style="width:12.7031pt;height:275.586pt;position:absolute;mso-position-horizontal-relative:page;mso-position-horizontal:absolute;margin-left:682.278pt;mso-position-vertical-relative:page;margin-top:536.334pt;" coordsize="1613,34999">
                <v:rect id="Rectangle 10773"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0774"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93 de 180 </w:t>
                        </w:r>
                      </w:p>
                    </w:txbxContent>
                  </v:textbox>
                </v:rect>
                <w10:wrap type="square"/>
              </v:group>
            </w:pict>
          </mc:Fallback>
        </mc:AlternateContent>
      </w:r>
      <w:r>
        <w:rPr>
          <w:rFonts w:ascii="Arial" w:eastAsia="Arial" w:hAnsi="Arial" w:cs="Arial"/>
        </w:rPr>
        <w:t xml:space="preserve">Visto el escrito recibido con registro de entrada 03 de mayo de 2018 y nº 9933, presentado por la entidad “GESPLAN”, en el que solicitan: </w:t>
      </w:r>
    </w:p>
    <w:p w:rsidR="00FA7413" w:rsidRDefault="00D712A8">
      <w:pPr>
        <w:spacing w:after="109" w:line="248" w:lineRule="auto"/>
        <w:ind w:left="355" w:right="64" w:hanging="10"/>
        <w:jc w:val="both"/>
      </w:pPr>
      <w:r>
        <w:rPr>
          <w:rFonts w:ascii="Arial" w:eastAsia="Arial" w:hAnsi="Arial" w:cs="Arial"/>
        </w:rPr>
        <w:t xml:space="preserve"> “1.- Que procedan a ac</w:t>
      </w:r>
      <w:r>
        <w:rPr>
          <w:rFonts w:ascii="Arial" w:eastAsia="Arial" w:hAnsi="Arial" w:cs="Arial"/>
        </w:rPr>
        <w:t>ordar por el órgano competente para ello, de conformidad con lo establecido en el acuerdo segundo del documento adjunto, siendo necesario que para que esta sociedad mercantil pública pueda ser declarada medo propio personificado de las entidades locales, é</w:t>
      </w:r>
      <w:r>
        <w:rPr>
          <w:rFonts w:ascii="Arial" w:eastAsia="Arial" w:hAnsi="Arial" w:cs="Arial"/>
        </w:rPr>
        <w:t xml:space="preserve">stas lo soliciten con carácter previo. </w:t>
      </w:r>
    </w:p>
    <w:p w:rsidR="00FA7413" w:rsidRDefault="00D712A8">
      <w:pPr>
        <w:spacing w:after="109" w:line="248" w:lineRule="auto"/>
        <w:ind w:left="355" w:right="64" w:hanging="10"/>
        <w:jc w:val="both"/>
      </w:pPr>
      <w:r>
        <w:rPr>
          <w:rFonts w:ascii="Arial" w:eastAsia="Arial" w:hAnsi="Arial" w:cs="Arial"/>
        </w:rPr>
        <w:t xml:space="preserve"> 2.- Que, de conformidad con lo establecido en el acuerdo primero, apartado b), punto cuatro del documento adjunto, que establece que la totalidad de los Ayuntamientos de los que Gesplan vaya a ser medio propio perso</w:t>
      </w:r>
      <w:r>
        <w:rPr>
          <w:rFonts w:ascii="Arial" w:eastAsia="Arial" w:hAnsi="Arial" w:cs="Arial"/>
        </w:rPr>
        <w:t xml:space="preserve">nificado, han de designar un representante que previo, los trámites correspondientes, formará parte del Consejo de Administración de esta sociedad mercantil pública. </w:t>
      </w:r>
    </w:p>
    <w:p w:rsidR="00FA7413" w:rsidRDefault="00D712A8">
      <w:pPr>
        <w:spacing w:after="109" w:line="248" w:lineRule="auto"/>
        <w:ind w:left="355" w:right="64" w:hanging="10"/>
        <w:jc w:val="both"/>
      </w:pPr>
      <w:r>
        <w:rPr>
          <w:rFonts w:ascii="Arial" w:eastAsia="Arial" w:hAnsi="Arial" w:cs="Arial"/>
        </w:rPr>
        <w:t xml:space="preserve"> 3.- Que esta sociedad mercantil pública el 11 de abril de 2018 remitió escrito, en estos</w:t>
      </w:r>
      <w:r>
        <w:rPr>
          <w:rFonts w:ascii="Arial" w:eastAsia="Arial" w:hAnsi="Arial" w:cs="Arial"/>
        </w:rPr>
        <w:t xml:space="preserve"> mismos términos, a la Presidenta de la Federación Canaria de Municipios (FECAM), teniendo entrada en la citada Federación el mismo día, del que se adjunta copia.”        </w:t>
      </w:r>
    </w:p>
    <w:p w:rsidR="00FA7413" w:rsidRDefault="00D712A8">
      <w:pPr>
        <w:spacing w:after="98"/>
        <w:ind w:left="360"/>
      </w:pPr>
      <w:r>
        <w:rPr>
          <w:rFonts w:ascii="Arial" w:eastAsia="Arial" w:hAnsi="Arial" w:cs="Arial"/>
        </w:rPr>
        <w:t xml:space="preserve"> </w:t>
      </w:r>
    </w:p>
    <w:p w:rsidR="00FA7413" w:rsidRDefault="00D712A8">
      <w:pPr>
        <w:spacing w:after="109" w:line="248" w:lineRule="auto"/>
        <w:ind w:left="355" w:right="64" w:hanging="10"/>
        <w:jc w:val="both"/>
      </w:pPr>
      <w:r>
        <w:rPr>
          <w:rFonts w:ascii="Arial" w:eastAsia="Arial" w:hAnsi="Arial" w:cs="Arial"/>
        </w:rPr>
        <w:t xml:space="preserve">  Al escrito se adjunta Acuerdo del Gobierno de Canarias de 26 de marzo de 2018, p</w:t>
      </w:r>
      <w:r>
        <w:rPr>
          <w:rFonts w:ascii="Arial" w:eastAsia="Arial" w:hAnsi="Arial" w:cs="Arial"/>
        </w:rPr>
        <w:t>or el que se fijan las condiciones que deberán cumplir las entidades del sector público autonómico con presupuesto estimativo para ser consideradas medio propio personificado y destinatarias de encargos en virtud de lo previsto en el art. 32.2 de la Ley 4/</w:t>
      </w:r>
      <w:r>
        <w:rPr>
          <w:rFonts w:ascii="Arial" w:eastAsia="Arial" w:hAnsi="Arial" w:cs="Arial"/>
        </w:rPr>
        <w:t xml:space="preserve">2012, de 25 de junio, de medidas administrativas y fiscales (Consejería de Hacienda).     </w:t>
      </w:r>
    </w:p>
    <w:p w:rsidR="00FA7413" w:rsidRDefault="00D712A8">
      <w:pPr>
        <w:tabs>
          <w:tab w:val="center" w:pos="360"/>
          <w:tab w:val="center" w:pos="2892"/>
        </w:tabs>
        <w:spacing w:after="109" w:line="248" w:lineRule="auto"/>
      </w:pPr>
      <w:r>
        <w:tab/>
      </w:r>
      <w:r>
        <w:rPr>
          <w:rFonts w:ascii="Arial" w:eastAsia="Arial" w:hAnsi="Arial" w:cs="Arial"/>
        </w:rPr>
        <w:t xml:space="preserve"> </w:t>
      </w:r>
      <w:r>
        <w:rPr>
          <w:rFonts w:ascii="Arial" w:eastAsia="Arial" w:hAnsi="Arial" w:cs="Arial"/>
        </w:rPr>
        <w:tab/>
        <w:t xml:space="preserve">Estas condiciones son las siguientes: </w:t>
      </w:r>
    </w:p>
    <w:p w:rsidR="00FA7413" w:rsidRDefault="00D712A8">
      <w:pPr>
        <w:spacing w:after="0"/>
        <w:ind w:left="360"/>
      </w:pPr>
      <w:r>
        <w:rPr>
          <w:rFonts w:ascii="Arial" w:eastAsia="Arial" w:hAnsi="Arial" w:cs="Arial"/>
        </w:rPr>
        <w:t xml:space="preserve"> </w:t>
      </w:r>
    </w:p>
    <w:p w:rsidR="00FA7413" w:rsidRDefault="00D712A8">
      <w:pPr>
        <w:numPr>
          <w:ilvl w:val="0"/>
          <w:numId w:val="18"/>
        </w:numPr>
        <w:spacing w:after="167" w:line="247" w:lineRule="auto"/>
        <w:ind w:right="62" w:hanging="360"/>
        <w:jc w:val="both"/>
      </w:pPr>
      <w:r>
        <w:rPr>
          <w:rFonts w:ascii="Arial" w:eastAsia="Arial" w:hAnsi="Arial" w:cs="Arial"/>
          <w:i/>
        </w:rPr>
        <w:t>La totalidad del capital social o patrimonio de los entes con personalidad jurídica privada con la cualificación de medio</w:t>
      </w:r>
      <w:r>
        <w:rPr>
          <w:rFonts w:ascii="Arial" w:eastAsia="Arial" w:hAnsi="Arial" w:cs="Arial"/>
          <w:i/>
        </w:rPr>
        <w:t xml:space="preserve"> propio de la Administración Pública de la Comunidad Autónoma de Canarias ha ser de titularidad o aportación pública. </w:t>
      </w:r>
    </w:p>
    <w:p w:rsidR="00FA7413" w:rsidRDefault="00D712A8">
      <w:pPr>
        <w:spacing w:after="0"/>
        <w:ind w:left="360"/>
      </w:pPr>
      <w:r>
        <w:rPr>
          <w:rFonts w:ascii="Arial" w:eastAsia="Arial" w:hAnsi="Arial" w:cs="Arial"/>
          <w:i/>
        </w:rPr>
        <w:t xml:space="preserve"> </w:t>
      </w:r>
    </w:p>
    <w:p w:rsidR="00FA7413" w:rsidRDefault="00D712A8">
      <w:pPr>
        <w:numPr>
          <w:ilvl w:val="0"/>
          <w:numId w:val="18"/>
        </w:numPr>
        <w:spacing w:after="165" w:line="247" w:lineRule="auto"/>
        <w:ind w:right="62" w:hanging="360"/>
        <w:jc w:val="both"/>
      </w:pPr>
      <w:r>
        <w:rPr>
          <w:rFonts w:ascii="Arial" w:eastAsia="Arial" w:hAnsi="Arial" w:cs="Arial"/>
          <w:i/>
        </w:rPr>
        <w:t>Se deberá tramitar un procedimiento de modificación estatutaria de aquellas entidades del sector público autonómico con presupuesto est</w:t>
      </w:r>
      <w:r>
        <w:rPr>
          <w:rFonts w:ascii="Arial" w:eastAsia="Arial" w:hAnsi="Arial" w:cs="Arial"/>
          <w:i/>
        </w:rPr>
        <w:t xml:space="preserve">imativo que vayan a ser declaradas medio propio personificado de las entidades canarias para: </w:t>
      </w:r>
    </w:p>
    <w:p w:rsidR="00FA7413" w:rsidRDefault="00D712A8">
      <w:pPr>
        <w:spacing w:after="0"/>
        <w:ind w:left="1080"/>
      </w:pPr>
      <w:r>
        <w:rPr>
          <w:rFonts w:ascii="Arial" w:eastAsia="Arial" w:hAnsi="Arial" w:cs="Arial"/>
          <w:i/>
        </w:rPr>
        <w:t xml:space="preserve"> </w:t>
      </w:r>
    </w:p>
    <w:p w:rsidR="00FA7413" w:rsidRDefault="00D712A8">
      <w:pPr>
        <w:numPr>
          <w:ilvl w:val="1"/>
          <w:numId w:val="18"/>
        </w:numPr>
        <w:spacing w:after="0" w:line="247" w:lineRule="auto"/>
        <w:ind w:right="62" w:hanging="355"/>
        <w:jc w:val="both"/>
      </w:pPr>
      <w:r>
        <w:rPr>
          <w:rFonts w:ascii="Arial" w:eastAsia="Arial" w:hAnsi="Arial" w:cs="Arial"/>
          <w:i/>
        </w:rPr>
        <w:t>La inclusión del reconocimiento expreso de la condición de medio propio personificado de la sociedad respecto a todos los poderes adjudicadores que así lo esta</w:t>
      </w:r>
      <w:r>
        <w:rPr>
          <w:rFonts w:ascii="Arial" w:eastAsia="Arial" w:hAnsi="Arial" w:cs="Arial"/>
          <w:i/>
        </w:rPr>
        <w:t xml:space="preserve">blezcan. </w:t>
      </w:r>
    </w:p>
    <w:p w:rsidR="00FA7413" w:rsidRDefault="00D712A8">
      <w:pPr>
        <w:spacing w:after="0"/>
        <w:ind w:left="1073"/>
      </w:pPr>
      <w:r>
        <w:rPr>
          <w:rFonts w:ascii="Arial" w:eastAsia="Arial" w:hAnsi="Arial" w:cs="Arial"/>
          <w:i/>
        </w:rPr>
        <w:t xml:space="preserve"> </w:t>
      </w:r>
    </w:p>
    <w:p w:rsidR="00FA7413" w:rsidRDefault="00D712A8">
      <w:pPr>
        <w:numPr>
          <w:ilvl w:val="1"/>
          <w:numId w:val="18"/>
        </w:numPr>
        <w:spacing w:after="3" w:line="241" w:lineRule="auto"/>
        <w:ind w:right="62" w:hanging="355"/>
        <w:jc w:val="both"/>
      </w:pPr>
      <w:r>
        <w:rPr>
          <w:rFonts w:ascii="Arial" w:eastAsia="Arial" w:hAnsi="Arial" w:cs="Arial"/>
          <w:i/>
        </w:rPr>
        <w:t xml:space="preserve">La previsión de que el medio propio personificado dispone de los medios suficientes e idóneos para realizar las prestaciones en el sector de la actividad que se corresponda con su objeto social de acuerdo con su norma o acuerdo de creación. </w:t>
      </w:r>
    </w:p>
    <w:p w:rsidR="00FA7413" w:rsidRDefault="00D712A8">
      <w:pPr>
        <w:spacing w:after="0"/>
        <w:ind w:left="360"/>
      </w:pPr>
      <w:r>
        <w:rPr>
          <w:rFonts w:ascii="Arial" w:eastAsia="Arial" w:hAnsi="Arial" w:cs="Arial"/>
          <w:i/>
        </w:rPr>
        <w:t xml:space="preserve"> </w:t>
      </w:r>
    </w:p>
    <w:p w:rsidR="00FA7413" w:rsidRDefault="00D712A8">
      <w:pPr>
        <w:numPr>
          <w:ilvl w:val="1"/>
          <w:numId w:val="18"/>
        </w:numPr>
        <w:spacing w:after="0" w:line="247" w:lineRule="auto"/>
        <w:ind w:right="62" w:hanging="355"/>
        <w:jc w:val="both"/>
      </w:pPr>
      <w:r>
        <w:rPr>
          <w:rFonts w:ascii="Arial" w:eastAsia="Arial" w:hAnsi="Arial" w:cs="Arial"/>
          <w:i/>
        </w:rPr>
        <w:t>La inclusión del reconocimiento expreso de que la comunicación encargando una actuación, efectuada por cualquiera de los poderes adjudicadores (Comunidad Autónoma, Cabildos Insulares y Ayuntamientos) supondrá su ejecución obligatoria, debiéndose adoptar to</w:t>
      </w:r>
      <w:r>
        <w:rPr>
          <w:rFonts w:ascii="Arial" w:eastAsia="Arial" w:hAnsi="Arial" w:cs="Arial"/>
          <w:i/>
        </w:rPr>
        <w:t xml:space="preserve">das las medidas necesarias por las partes para garantizar el cumplimiento del principio de sostenibilidad financiera. </w:t>
      </w:r>
    </w:p>
    <w:p w:rsidR="00FA7413" w:rsidRDefault="00D712A8">
      <w:pPr>
        <w:spacing w:after="0"/>
        <w:ind w:left="360"/>
      </w:pPr>
      <w:r>
        <w:rPr>
          <w:rFonts w:ascii="Arial" w:eastAsia="Arial" w:hAnsi="Arial" w:cs="Arial"/>
          <w:i/>
        </w:rPr>
        <w:t xml:space="preserve"> </w:t>
      </w:r>
    </w:p>
    <w:p w:rsidR="00FA7413" w:rsidRDefault="00D712A8">
      <w:pPr>
        <w:numPr>
          <w:ilvl w:val="1"/>
          <w:numId w:val="18"/>
        </w:numPr>
        <w:spacing w:after="0" w:line="247" w:lineRule="auto"/>
        <w:ind w:right="62" w:hanging="355"/>
        <w:jc w:val="both"/>
      </w:pPr>
      <w:r>
        <w:rPr>
          <w:noProof/>
        </w:rPr>
        <mc:AlternateContent>
          <mc:Choice Requires="wpg">
            <w:drawing>
              <wp:anchor distT="0" distB="0" distL="114300" distR="114300" simplePos="0" relativeHeight="251755520"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7372" name="Group 217372"/>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0882" name="Rectangle 10882"/>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0883" name="Rectangle 10883"/>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Documento firmado electrónicamen</w:t>
                              </w:r>
                              <w:r>
                                <w:rPr>
                                  <w:rFonts w:ascii="Arial" w:eastAsia="Arial" w:hAnsi="Arial" w:cs="Arial"/>
                                  <w:sz w:val="12"/>
                                </w:rPr>
                                <w:t xml:space="preserve">te desde la plataforma esPublico Gestiona | Página 94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7372" style="width:12.7031pt;height:275.586pt;position:absolute;mso-position-horizontal-relative:page;mso-position-horizontal:absolute;margin-left:682.278pt;mso-position-vertical-relative:page;margin-top:536.334pt;" coordsize="1613,34999">
                <v:rect id="Rectangle 10882"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0883"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94 de 180 </w:t>
                        </w:r>
                      </w:p>
                    </w:txbxContent>
                  </v:textbox>
                </v:rect>
                <w10:wrap type="square"/>
              </v:group>
            </w:pict>
          </mc:Fallback>
        </mc:AlternateContent>
      </w:r>
      <w:r>
        <w:rPr>
          <w:rFonts w:ascii="Arial" w:eastAsia="Arial" w:hAnsi="Arial" w:cs="Arial"/>
          <w:i/>
        </w:rPr>
        <w:t>La modificación de la composición del consejo de administración para incrementar en dos miembros el número de vocales, que serían designados por las Corporaciones Locales canarias y representarí</w:t>
      </w:r>
      <w:r>
        <w:rPr>
          <w:rFonts w:ascii="Arial" w:eastAsia="Arial" w:hAnsi="Arial" w:cs="Arial"/>
          <w:i/>
        </w:rPr>
        <w:t xml:space="preserve">an, uno de ellos, a la totalidad de los Cabildos Insulares y, otro, a la totalidad de los Ayuntamiento que le consideraran medio propio personificado. </w:t>
      </w:r>
    </w:p>
    <w:p w:rsidR="00FA7413" w:rsidRDefault="00D712A8">
      <w:pPr>
        <w:spacing w:after="0"/>
        <w:ind w:left="1080"/>
      </w:pPr>
      <w:r>
        <w:rPr>
          <w:rFonts w:ascii="Arial" w:eastAsia="Arial" w:hAnsi="Arial" w:cs="Arial"/>
          <w:i/>
        </w:rPr>
        <w:t xml:space="preserve"> </w:t>
      </w:r>
    </w:p>
    <w:p w:rsidR="00FA7413" w:rsidRDefault="00D712A8">
      <w:pPr>
        <w:numPr>
          <w:ilvl w:val="1"/>
          <w:numId w:val="18"/>
        </w:numPr>
        <w:spacing w:after="0" w:line="247" w:lineRule="auto"/>
        <w:ind w:right="62" w:hanging="355"/>
        <w:jc w:val="both"/>
      </w:pPr>
      <w:r>
        <w:rPr>
          <w:rFonts w:ascii="Arial" w:eastAsia="Arial" w:hAnsi="Arial" w:cs="Arial"/>
          <w:i/>
        </w:rPr>
        <w:t>La previsión de un procedimiento acorde a la normativa de sociedades de capital que sirva para la reso</w:t>
      </w:r>
      <w:r>
        <w:rPr>
          <w:rFonts w:ascii="Arial" w:eastAsia="Arial" w:hAnsi="Arial" w:cs="Arial"/>
          <w:i/>
        </w:rPr>
        <w:t xml:space="preserve">lución de conflictos de intereses que eventualmente pudieran surgir entre los poderes adjudicadores que ejercen influencia decisiva sobre los objetivos de la sociedad o entre estos y la propia sociedad. </w:t>
      </w:r>
    </w:p>
    <w:p w:rsidR="00FA7413" w:rsidRDefault="00D712A8">
      <w:pPr>
        <w:spacing w:after="0"/>
        <w:ind w:left="1080"/>
      </w:pPr>
      <w:r>
        <w:rPr>
          <w:rFonts w:ascii="Arial" w:eastAsia="Arial" w:hAnsi="Arial" w:cs="Arial"/>
          <w:i/>
        </w:rPr>
        <w:t xml:space="preserve"> </w:t>
      </w:r>
    </w:p>
    <w:p w:rsidR="00FA7413" w:rsidRDefault="00D712A8">
      <w:pPr>
        <w:numPr>
          <w:ilvl w:val="1"/>
          <w:numId w:val="18"/>
        </w:numPr>
        <w:spacing w:after="0" w:line="247" w:lineRule="auto"/>
        <w:ind w:right="62" w:hanging="355"/>
        <w:jc w:val="both"/>
      </w:pPr>
      <w:r>
        <w:rPr>
          <w:rFonts w:ascii="Arial" w:eastAsia="Arial" w:hAnsi="Arial" w:cs="Arial"/>
          <w:i/>
        </w:rPr>
        <w:t>La previsión de que el Consejo de Administración d</w:t>
      </w:r>
      <w:r>
        <w:rPr>
          <w:rFonts w:ascii="Arial" w:eastAsia="Arial" w:hAnsi="Arial" w:cs="Arial"/>
          <w:i/>
        </w:rPr>
        <w:t>e las entidades del sector públicos autonómico con presupuesto estimativo que vayan a ser declaradas medio propio personificado de las entidades locales en que así se constituya, pueda crear un comité de representación paritaria de todos los poderes adjudi</w:t>
      </w:r>
      <w:r>
        <w:rPr>
          <w:rFonts w:ascii="Arial" w:eastAsia="Arial" w:hAnsi="Arial" w:cs="Arial"/>
          <w:i/>
        </w:rPr>
        <w:t>cadores que le hayan declarado medio propio personificado, encargado de definir los objetivos y estrategias de la entidad, acordes con los objetivos y estrategias de cada uno de los encomendantes, así como efectuar un control reforzado de las actuaciones c</w:t>
      </w:r>
      <w:r>
        <w:rPr>
          <w:rFonts w:ascii="Arial" w:eastAsia="Arial" w:hAnsi="Arial" w:cs="Arial"/>
          <w:i/>
        </w:rPr>
        <w:t xml:space="preserve">oncretas a realizar por la entidad para atender los encargos que le realicen los diferentes poderes adjudicadores. Dicho órgano establecerá qué actuaciones se considerarán prioritarias atendiendo a las políticas en las que se encuadra cada encargo.  </w:t>
      </w:r>
    </w:p>
    <w:p w:rsidR="00FA7413" w:rsidRDefault="00D712A8">
      <w:pPr>
        <w:spacing w:after="0"/>
        <w:ind w:left="1080"/>
      </w:pPr>
      <w:r>
        <w:rPr>
          <w:rFonts w:ascii="Arial" w:eastAsia="Arial" w:hAnsi="Arial" w:cs="Arial"/>
          <w:i/>
        </w:rPr>
        <w:t xml:space="preserve"> </w:t>
      </w:r>
    </w:p>
    <w:p w:rsidR="00FA7413" w:rsidRDefault="00D712A8">
      <w:pPr>
        <w:numPr>
          <w:ilvl w:val="1"/>
          <w:numId w:val="18"/>
        </w:numPr>
        <w:spacing w:after="0" w:line="247" w:lineRule="auto"/>
        <w:ind w:right="62" w:hanging="355"/>
        <w:jc w:val="both"/>
      </w:pPr>
      <w:r>
        <w:rPr>
          <w:rFonts w:ascii="Arial" w:eastAsia="Arial" w:hAnsi="Arial" w:cs="Arial"/>
          <w:i/>
        </w:rPr>
        <w:t xml:space="preserve">La inclusión de la prohibición del medio propio personificado de realizar actuaciones contrarias a los fines e intereses públicos de los poderes adjudicadores que hacen los encargos. </w:t>
      </w:r>
    </w:p>
    <w:p w:rsidR="00FA7413" w:rsidRDefault="00D712A8">
      <w:pPr>
        <w:spacing w:after="0"/>
        <w:ind w:left="360"/>
      </w:pPr>
      <w:r>
        <w:rPr>
          <w:rFonts w:ascii="Arial" w:eastAsia="Arial" w:hAnsi="Arial" w:cs="Arial"/>
          <w:i/>
        </w:rPr>
        <w:t xml:space="preserve"> </w:t>
      </w:r>
    </w:p>
    <w:p w:rsidR="00FA7413" w:rsidRDefault="00D712A8">
      <w:pPr>
        <w:spacing w:after="0"/>
        <w:ind w:left="1080"/>
      </w:pPr>
      <w:r>
        <w:rPr>
          <w:rFonts w:ascii="Arial" w:eastAsia="Arial" w:hAnsi="Arial" w:cs="Arial"/>
          <w:i/>
        </w:rPr>
        <w:t xml:space="preserve"> </w:t>
      </w:r>
    </w:p>
    <w:p w:rsidR="00FA7413" w:rsidRDefault="00D712A8">
      <w:pPr>
        <w:numPr>
          <w:ilvl w:val="1"/>
          <w:numId w:val="18"/>
        </w:numPr>
        <w:spacing w:after="0" w:line="247" w:lineRule="auto"/>
        <w:ind w:right="62" w:hanging="355"/>
        <w:jc w:val="both"/>
      </w:pPr>
      <w:r>
        <w:rPr>
          <w:rFonts w:ascii="Arial" w:eastAsia="Arial" w:hAnsi="Arial" w:cs="Arial"/>
          <w:i/>
        </w:rPr>
        <w:t>La inclusión de un apartado referido a que las tarifas o presupuesto</w:t>
      </w:r>
      <w:r>
        <w:rPr>
          <w:rFonts w:ascii="Arial" w:eastAsia="Arial" w:hAnsi="Arial" w:cs="Arial"/>
          <w:i/>
        </w:rPr>
        <w:t xml:space="preserve">s de los encargos que realicen los poderes adjudicadores que le hay n declarado medio propio personificado deben ser aprobados por la entidad pública de la que dependa el medio propio personificado, respondiendo a los costes y gastos reales en que incurra </w:t>
      </w:r>
      <w:r>
        <w:rPr>
          <w:rFonts w:ascii="Arial" w:eastAsia="Arial" w:hAnsi="Arial" w:cs="Arial"/>
          <w:i/>
        </w:rPr>
        <w:t xml:space="preserve">el medio propio personificado para la ejecución del encargo. </w:t>
      </w:r>
    </w:p>
    <w:p w:rsidR="00FA7413" w:rsidRDefault="00D712A8">
      <w:pPr>
        <w:spacing w:after="0"/>
        <w:ind w:left="1073"/>
      </w:pPr>
      <w:r>
        <w:rPr>
          <w:rFonts w:ascii="Arial" w:eastAsia="Arial" w:hAnsi="Arial" w:cs="Arial"/>
          <w:i/>
        </w:rPr>
        <w:t xml:space="preserve"> </w:t>
      </w:r>
    </w:p>
    <w:p w:rsidR="00FA7413" w:rsidRDefault="00D712A8">
      <w:pPr>
        <w:numPr>
          <w:ilvl w:val="1"/>
          <w:numId w:val="18"/>
        </w:numPr>
        <w:spacing w:after="0" w:line="247" w:lineRule="auto"/>
        <w:ind w:right="62" w:hanging="355"/>
        <w:jc w:val="both"/>
      </w:pPr>
      <w:r>
        <w:rPr>
          <w:rFonts w:ascii="Arial" w:eastAsia="Arial" w:hAnsi="Arial" w:cs="Arial"/>
          <w:i/>
        </w:rPr>
        <w:t>La inclusión de la previsión de que en la memoria integrante de las cuentas anuales del medio propio personificado se incluya un apartado relativo a la justificación del cumplimiento del requisito de que la parte esencial de la actividad del medio propio p</w:t>
      </w:r>
      <w:r>
        <w:rPr>
          <w:rFonts w:ascii="Arial" w:eastAsia="Arial" w:hAnsi="Arial" w:cs="Arial"/>
          <w:i/>
        </w:rPr>
        <w:t xml:space="preserve">ersonificado se realice con los entes que la controlan; hecho que deberá ser objeto de verificación por el auditor en la auditoría de cuentas anuales. </w:t>
      </w:r>
    </w:p>
    <w:p w:rsidR="00FA7413" w:rsidRDefault="00D712A8">
      <w:pPr>
        <w:spacing w:after="0"/>
        <w:ind w:left="1080"/>
      </w:pPr>
      <w:r>
        <w:rPr>
          <w:rFonts w:ascii="Arial" w:eastAsia="Arial" w:hAnsi="Arial" w:cs="Arial"/>
          <w:i/>
        </w:rPr>
        <w:t xml:space="preserve"> </w:t>
      </w:r>
    </w:p>
    <w:p w:rsidR="00FA7413" w:rsidRDefault="00D712A8">
      <w:pPr>
        <w:spacing w:after="0" w:line="247" w:lineRule="auto"/>
        <w:ind w:left="1083" w:right="62" w:hanging="10"/>
        <w:jc w:val="both"/>
      </w:pPr>
      <w:r>
        <w:rPr>
          <w:rFonts w:ascii="Arial" w:eastAsia="Arial" w:hAnsi="Arial" w:cs="Arial"/>
          <w:i/>
        </w:rPr>
        <w:t>Dicha parte esencial será, en todo caso, más del 80% de las actividades del ente destinatario del enca</w:t>
      </w:r>
      <w:r>
        <w:rPr>
          <w:rFonts w:ascii="Arial" w:eastAsia="Arial" w:hAnsi="Arial" w:cs="Arial"/>
          <w:i/>
        </w:rPr>
        <w:t xml:space="preserve">rgo. </w:t>
      </w:r>
    </w:p>
    <w:p w:rsidR="00FA7413" w:rsidRDefault="00D712A8">
      <w:pPr>
        <w:spacing w:after="0"/>
        <w:ind w:left="1080"/>
      </w:pPr>
      <w:r>
        <w:rPr>
          <w:rFonts w:ascii="Arial" w:eastAsia="Arial" w:hAnsi="Arial" w:cs="Arial"/>
          <w:i/>
        </w:rPr>
        <w:t xml:space="preserve"> </w:t>
      </w:r>
    </w:p>
    <w:p w:rsidR="00FA7413" w:rsidRDefault="00D712A8">
      <w:pPr>
        <w:numPr>
          <w:ilvl w:val="1"/>
          <w:numId w:val="18"/>
        </w:numPr>
        <w:spacing w:after="0" w:line="247" w:lineRule="auto"/>
        <w:ind w:right="62" w:hanging="355"/>
        <w:jc w:val="both"/>
      </w:pPr>
      <w:r>
        <w:rPr>
          <w:rFonts w:ascii="Arial" w:eastAsia="Arial" w:hAnsi="Arial" w:cs="Arial"/>
          <w:i/>
        </w:rPr>
        <w:t>La determinación del régimen jurídico y administrativo de aplicación a los encargos que se les puedan conferir, precisando que los mismo tienen naturaleza administrativa y se regirán por la normativa en vigor reguladora de los encargos a medios pro</w:t>
      </w:r>
      <w:r>
        <w:rPr>
          <w:rFonts w:ascii="Arial" w:eastAsia="Arial" w:hAnsi="Arial" w:cs="Arial"/>
          <w:i/>
        </w:rPr>
        <w:t xml:space="preserve">pios personificados, quedando excluidos del régimen jurídico de aplicación a los contratos administrativos. </w:t>
      </w:r>
    </w:p>
    <w:p w:rsidR="00FA7413" w:rsidRDefault="00D712A8">
      <w:pPr>
        <w:spacing w:after="0"/>
        <w:ind w:left="1073"/>
      </w:pPr>
      <w:r>
        <w:rPr>
          <w:rFonts w:ascii="Arial" w:eastAsia="Arial" w:hAnsi="Arial" w:cs="Arial"/>
          <w:i/>
        </w:rPr>
        <w:t xml:space="preserve"> </w:t>
      </w:r>
    </w:p>
    <w:p w:rsidR="00FA7413" w:rsidRDefault="00D712A8">
      <w:pPr>
        <w:numPr>
          <w:ilvl w:val="1"/>
          <w:numId w:val="18"/>
        </w:numPr>
        <w:spacing w:after="4" w:line="247" w:lineRule="auto"/>
        <w:ind w:right="62" w:hanging="355"/>
        <w:jc w:val="both"/>
      </w:pPr>
      <w:r>
        <w:rPr>
          <w:noProof/>
        </w:rPr>
        <mc:AlternateContent>
          <mc:Choice Requires="wpg">
            <w:drawing>
              <wp:anchor distT="0" distB="0" distL="114300" distR="114300" simplePos="0" relativeHeight="251756544"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7559" name="Group 217559"/>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0993" name="Rectangle 10993"/>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0994" name="Rectangle 10994"/>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Documento firmado electrónicamente desde l</w:t>
                              </w:r>
                              <w:r>
                                <w:rPr>
                                  <w:rFonts w:ascii="Arial" w:eastAsia="Arial" w:hAnsi="Arial" w:cs="Arial"/>
                                  <w:sz w:val="12"/>
                                </w:rPr>
                                <w:t xml:space="preserve">a plataforma esPublico Gestiona | Página 95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7559" style="width:12.7031pt;height:275.586pt;position:absolute;mso-position-horizontal-relative:page;mso-position-horizontal:absolute;margin-left:682.278pt;mso-position-vertical-relative:page;margin-top:536.334pt;" coordsize="1613,34999">
                <v:rect id="Rectangle 10993"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0994"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95 de 180 </w:t>
                        </w:r>
                      </w:p>
                    </w:txbxContent>
                  </v:textbox>
                </v:rect>
                <w10:wrap type="square"/>
              </v:group>
            </w:pict>
          </mc:Fallback>
        </mc:AlternateContent>
      </w:r>
      <w:r>
        <w:rPr>
          <w:rFonts w:ascii="Arial" w:eastAsia="Arial" w:hAnsi="Arial" w:cs="Arial"/>
          <w:i/>
        </w:rPr>
        <w:t>La inclusión de la imposibilidad de que participen en licitaciones públicas convocadas por el poder adjudicador del que sean medio propio personificado, sin perjuicio de que, cuando no concurra ningún lic</w:t>
      </w:r>
      <w:r>
        <w:rPr>
          <w:rFonts w:ascii="Arial" w:eastAsia="Arial" w:hAnsi="Arial" w:cs="Arial"/>
          <w:i/>
        </w:rPr>
        <w:t xml:space="preserve">itador, pueda encargárseles la ejecución de la prestación objeto de la misma.” </w:t>
      </w:r>
    </w:p>
    <w:p w:rsidR="00FA7413" w:rsidRDefault="00D712A8">
      <w:pPr>
        <w:spacing w:after="0"/>
        <w:ind w:left="1080"/>
      </w:pPr>
      <w:r>
        <w:rPr>
          <w:rFonts w:ascii="Arial" w:eastAsia="Arial" w:hAnsi="Arial" w:cs="Arial"/>
          <w:i/>
        </w:rPr>
        <w:t xml:space="preserve"> </w:t>
      </w:r>
    </w:p>
    <w:p w:rsidR="00FA7413" w:rsidRDefault="00D712A8">
      <w:pPr>
        <w:spacing w:after="0"/>
        <w:ind w:left="1080"/>
      </w:pPr>
      <w:r>
        <w:rPr>
          <w:rFonts w:ascii="Arial" w:eastAsia="Arial" w:hAnsi="Arial" w:cs="Arial"/>
        </w:rPr>
        <w:t xml:space="preserve"> </w:t>
      </w:r>
    </w:p>
    <w:p w:rsidR="00FA7413" w:rsidRDefault="00D712A8">
      <w:pPr>
        <w:spacing w:after="0" w:line="248" w:lineRule="auto"/>
        <w:ind w:left="1090" w:right="64" w:hanging="10"/>
        <w:jc w:val="both"/>
      </w:pPr>
      <w:r>
        <w:rPr>
          <w:rFonts w:ascii="Arial" w:eastAsia="Arial" w:hAnsi="Arial" w:cs="Arial"/>
          <w:b/>
        </w:rPr>
        <w:t xml:space="preserve">Visto </w:t>
      </w:r>
      <w:r>
        <w:rPr>
          <w:rFonts w:ascii="Arial" w:eastAsia="Arial" w:hAnsi="Arial" w:cs="Arial"/>
        </w:rPr>
        <w:t xml:space="preserve">que consta escrito de fecha 26 de junio de 2018, en el que reitera la solicitud por parte de la entidad “GESPLAN, SA”, al que se adjunta Acuerdo del Comité Ejecutivo </w:t>
      </w:r>
      <w:r>
        <w:rPr>
          <w:rFonts w:ascii="Arial" w:eastAsia="Arial" w:hAnsi="Arial" w:cs="Arial"/>
        </w:rPr>
        <w:t xml:space="preserve">de la FECAM de 20 de abril de 2018, de designación de la representante de la FECAM a Dña. María Concepción Brito Núñez, en el Consejo de Administración de GESPLAN. </w:t>
      </w:r>
      <w:r>
        <w:rPr>
          <w:rFonts w:ascii="Times New Roman" w:eastAsia="Times New Roman" w:hAnsi="Times New Roman" w:cs="Times New Roman"/>
          <w:sz w:val="24"/>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line="248" w:lineRule="auto"/>
        <w:ind w:left="718" w:right="64" w:firstLine="350"/>
        <w:jc w:val="both"/>
      </w:pPr>
      <w:r>
        <w:rPr>
          <w:rFonts w:ascii="Arial" w:eastAsia="Arial" w:hAnsi="Arial" w:cs="Arial"/>
          <w:b/>
        </w:rPr>
        <w:t xml:space="preserve">Visto </w:t>
      </w:r>
      <w:r>
        <w:rPr>
          <w:rFonts w:ascii="Arial" w:eastAsia="Arial" w:hAnsi="Arial" w:cs="Arial"/>
        </w:rPr>
        <w:t>que</w:t>
      </w:r>
      <w:r>
        <w:rPr>
          <w:rFonts w:ascii="Arial" w:eastAsia="Arial" w:hAnsi="Arial" w:cs="Arial"/>
          <w:b/>
        </w:rPr>
        <w:t xml:space="preserve"> </w:t>
      </w:r>
      <w:r>
        <w:rPr>
          <w:rFonts w:ascii="Arial" w:eastAsia="Arial" w:hAnsi="Arial" w:cs="Arial"/>
        </w:rPr>
        <w:t>consta oficio de fecha 19 de mayo de 2021 firmado por la Alcaldía, con registro de salida nº 1769, en el que se solicita a la entidad “GESPLAN, SA”, en el que se le solicita informe de acreditación por parte de esa entidad del cumplimiento de las condicion</w:t>
      </w:r>
      <w:r>
        <w:rPr>
          <w:rFonts w:ascii="Arial" w:eastAsia="Arial" w:hAnsi="Arial" w:cs="Arial"/>
        </w:rPr>
        <w:t>es previstas en el art. 32.4 de la LCSP.</w:t>
      </w:r>
      <w:r>
        <w:rPr>
          <w:rFonts w:ascii="Times New Roman" w:eastAsia="Times New Roman" w:hAnsi="Times New Roman" w:cs="Times New Roman"/>
          <w:sz w:val="24"/>
        </w:rPr>
        <w:t xml:space="preserve"> </w:t>
      </w:r>
    </w:p>
    <w:p w:rsidR="00FA7413" w:rsidRDefault="00D712A8">
      <w:pPr>
        <w:spacing w:after="11"/>
        <w:ind w:left="718"/>
      </w:pPr>
      <w:r>
        <w:rPr>
          <w:rFonts w:ascii="Arial" w:eastAsia="Arial" w:hAnsi="Arial" w:cs="Arial"/>
        </w:rPr>
        <w:t xml:space="preserve"> </w:t>
      </w:r>
    </w:p>
    <w:p w:rsidR="00FA7413" w:rsidRDefault="00D712A8">
      <w:pPr>
        <w:spacing w:after="0" w:line="248" w:lineRule="auto"/>
        <w:ind w:left="728" w:right="64" w:hanging="10"/>
        <w:jc w:val="both"/>
      </w:pPr>
      <w:r>
        <w:rPr>
          <w:rFonts w:ascii="Arial" w:eastAsia="Arial" w:hAnsi="Arial" w:cs="Arial"/>
        </w:rPr>
        <w:t xml:space="preserve"> Consta escrito de la entidad “GESPLAN, SA”, con registro de entrada de fecha 20 de mayo de 2021 y nº 1717, en el que se adjunta certificado de fecha 20 de mayo de 2021, del Consejero Delegado de la Sociedad, que</w:t>
      </w:r>
      <w:r>
        <w:rPr>
          <w:rFonts w:ascii="Arial" w:eastAsia="Arial" w:hAnsi="Arial" w:cs="Arial"/>
        </w:rPr>
        <w:t xml:space="preserve"> certifica que la Sociedad cumple con el art.32.4 para ser medio propio personificado del Ayuntamiento de Candelaria, del siguiente tenor literal: </w:t>
      </w:r>
    </w:p>
    <w:p w:rsidR="00FA7413" w:rsidRDefault="00D712A8">
      <w:pPr>
        <w:spacing w:after="0"/>
        <w:ind w:left="718"/>
      </w:pPr>
      <w:r>
        <w:rPr>
          <w:rFonts w:ascii="Arial" w:eastAsia="Arial" w:hAnsi="Arial" w:cs="Arial"/>
        </w:rPr>
        <w:t xml:space="preserve"> </w:t>
      </w:r>
    </w:p>
    <w:p w:rsidR="00FA7413" w:rsidRDefault="00D712A8">
      <w:pPr>
        <w:spacing w:after="0" w:line="247" w:lineRule="auto"/>
        <w:ind w:left="728" w:right="62" w:hanging="10"/>
        <w:jc w:val="both"/>
      </w:pPr>
      <w:r>
        <w:rPr>
          <w:rFonts w:ascii="Arial" w:eastAsia="Arial" w:hAnsi="Arial" w:cs="Arial"/>
        </w:rPr>
        <w:t xml:space="preserve"> “</w:t>
      </w:r>
      <w:r>
        <w:rPr>
          <w:rFonts w:ascii="Arial" w:eastAsia="Arial" w:hAnsi="Arial" w:cs="Arial"/>
          <w:i/>
        </w:rPr>
        <w:t>Manuel Agoney Piñero Ortiz, en calidad de Consejero Delegado de la Sociedad Mercantil Pública “Gestión y</w:t>
      </w:r>
      <w:r>
        <w:rPr>
          <w:rFonts w:ascii="Arial" w:eastAsia="Arial" w:hAnsi="Arial" w:cs="Arial"/>
          <w:i/>
        </w:rPr>
        <w:t xml:space="preserve"> Planeamiento Territorial y Medioambiental, S.A.” (Gesplan), con CIF A38279972, en virtud del nombramiento realizado en la sesión del Consejo de Administración, celebrada el 8 de noviembre de 2019, estando sus facultades elevadas a público mediante la escr</w:t>
      </w:r>
      <w:r>
        <w:rPr>
          <w:rFonts w:ascii="Arial" w:eastAsia="Arial" w:hAnsi="Arial" w:cs="Arial"/>
          <w:i/>
        </w:rPr>
        <w:t xml:space="preserve">itura pública otorgada en Las Palmas de Gran Canaria el 19 de noviembre de 2019 ante el Notario Don Lesmes Gutiérrez Rodríguez-Moldes, con el número 2158 de suprotocolo, estando inscrita en el Registro Mercantil de Las Palmas, y domicilio en Las Palmas de </w:t>
      </w:r>
      <w:r>
        <w:rPr>
          <w:rFonts w:ascii="Arial" w:eastAsia="Arial" w:hAnsi="Arial" w:cs="Arial"/>
          <w:i/>
        </w:rPr>
        <w:t xml:space="preserve">Gran Canaria, en la calle León y Castillo, número 54, </w:t>
      </w:r>
      <w:r>
        <w:rPr>
          <w:rFonts w:ascii="Arial" w:eastAsia="Arial" w:hAnsi="Arial" w:cs="Arial"/>
          <w:b/>
          <w:i/>
        </w:rPr>
        <w:t>CERTIFICA</w:t>
      </w:r>
      <w:r>
        <w:rPr>
          <w:rFonts w:ascii="Arial" w:eastAsia="Arial" w:hAnsi="Arial" w:cs="Arial"/>
          <w:i/>
        </w:rPr>
        <w:t xml:space="preserve">: </w:t>
      </w:r>
      <w:r>
        <w:rPr>
          <w:rFonts w:ascii="Times New Roman" w:eastAsia="Times New Roman" w:hAnsi="Times New Roman" w:cs="Times New Roman"/>
          <w:sz w:val="24"/>
        </w:rPr>
        <w:t xml:space="preserve"> </w:t>
      </w:r>
    </w:p>
    <w:p w:rsidR="00FA7413" w:rsidRDefault="00D712A8">
      <w:pPr>
        <w:spacing w:after="0" w:line="247" w:lineRule="auto"/>
        <w:ind w:left="728" w:right="62" w:hanging="10"/>
        <w:jc w:val="both"/>
      </w:pPr>
      <w:r>
        <w:rPr>
          <w:rFonts w:ascii="Arial" w:eastAsia="Arial" w:hAnsi="Arial" w:cs="Arial"/>
          <w:i/>
        </w:rPr>
        <w:t>1º.- Que esta sociedad mercantil pública cumple con lo establecido en el artículo 12 de la Directiva 24/2014/UE del Parlamento Europeo y del Consejo de 26 de febrero de 2014, y en el artícu</w:t>
      </w:r>
      <w:r>
        <w:rPr>
          <w:rFonts w:ascii="Arial" w:eastAsia="Arial" w:hAnsi="Arial" w:cs="Arial"/>
          <w:i/>
        </w:rPr>
        <w:t xml:space="preserve">lo 32 de la Ley 9/2017, de 8 de noviembre, de Contratos del Sector Público. </w:t>
      </w:r>
    </w:p>
    <w:p w:rsidR="00FA7413" w:rsidRDefault="00D712A8">
      <w:pPr>
        <w:spacing w:after="0" w:line="247" w:lineRule="auto"/>
        <w:ind w:left="728" w:right="62" w:hanging="10"/>
        <w:jc w:val="both"/>
      </w:pPr>
      <w:r>
        <w:rPr>
          <w:rFonts w:ascii="Arial" w:eastAsia="Arial" w:hAnsi="Arial" w:cs="Arial"/>
          <w:i/>
        </w:rPr>
        <w:t xml:space="preserve"> 2º.- Que esta sociedad mercantil pública tiene como socio único a la Comunidad Autónoma de Canarias, su capital social es íntegramente de titularidad pública y tiene la considera</w:t>
      </w:r>
      <w:r>
        <w:rPr>
          <w:rFonts w:ascii="Arial" w:eastAsia="Arial" w:hAnsi="Arial" w:cs="Arial"/>
          <w:i/>
        </w:rPr>
        <w:t xml:space="preserve">ción de medio propio (M.P.) personificado respecto de la Administración Pública de la Comunidad Autónoma de Canarias y de los organismos autónomos dependientes de ella, de todos los Cabildos Insulares y de varios Ayuntamientos de las islas.  </w:t>
      </w:r>
    </w:p>
    <w:p w:rsidR="00FA7413" w:rsidRDefault="00D712A8">
      <w:pPr>
        <w:spacing w:after="0" w:line="247" w:lineRule="auto"/>
        <w:ind w:left="728" w:right="62" w:hanging="10"/>
        <w:jc w:val="both"/>
      </w:pPr>
      <w:r>
        <w:rPr>
          <w:rFonts w:ascii="Arial" w:eastAsia="Arial" w:hAnsi="Arial" w:cs="Arial"/>
          <w:i/>
        </w:rPr>
        <w:t xml:space="preserve">3º.- </w:t>
      </w:r>
      <w:r>
        <w:rPr>
          <w:rFonts w:ascii="Arial" w:eastAsia="Arial" w:hAnsi="Arial" w:cs="Arial"/>
          <w:i/>
        </w:rPr>
        <w:t>Que el Gobierno de Canarias, en sesión celebrada el día 26 de marzo de 2018, adoptó, entre otros, el Acuerdo por el que se fijan las condiciones que deberán cumplir las entidades del Sector Público Autonómico con presupuesto estimativo para ser considerada</w:t>
      </w:r>
      <w:r>
        <w:rPr>
          <w:rFonts w:ascii="Arial" w:eastAsia="Arial" w:hAnsi="Arial" w:cs="Arial"/>
          <w:i/>
        </w:rPr>
        <w:t xml:space="preserve">s medio propio personificado y destinatarias de encargos en virtud de lo previsto en el artículo 32.2 de la Ley 4/2012, de 25 de junio, de Medidas Administrativas y Fiscales.  </w:t>
      </w:r>
    </w:p>
    <w:p w:rsidR="00FA7413" w:rsidRDefault="00D712A8">
      <w:pPr>
        <w:spacing w:after="11" w:line="247" w:lineRule="auto"/>
        <w:ind w:left="728" w:right="62" w:hanging="10"/>
        <w:jc w:val="both"/>
      </w:pPr>
      <w:r>
        <w:rPr>
          <w:rFonts w:ascii="Arial" w:eastAsia="Arial" w:hAnsi="Arial" w:cs="Arial"/>
          <w:i/>
        </w:rPr>
        <w:t xml:space="preserve">4º.- Que el punto Primero, apartado b) del citado acuerdo, establece que:   </w:t>
      </w:r>
    </w:p>
    <w:p w:rsidR="00FA7413" w:rsidRDefault="00D712A8">
      <w:pPr>
        <w:spacing w:after="0" w:line="247" w:lineRule="auto"/>
        <w:ind w:left="718" w:right="62" w:firstLine="350"/>
        <w:jc w:val="both"/>
      </w:pPr>
      <w:r>
        <w:rPr>
          <w:rFonts w:ascii="Arial" w:eastAsia="Arial" w:hAnsi="Arial" w:cs="Arial"/>
          <w:i/>
        </w:rPr>
        <w:t>Se</w:t>
      </w:r>
      <w:r>
        <w:rPr>
          <w:rFonts w:ascii="Arial" w:eastAsia="Arial" w:hAnsi="Arial" w:cs="Arial"/>
          <w:i/>
        </w:rPr>
        <w:t xml:space="preserve"> deberá tramitar un procedimiento de modificación estatutaria de aquellas entidades del sector público autonómico con presupuesto estimativo que vayan a ser declaradas medio propio personificado de las entidades locales canarias para: …La modificación de l</w:t>
      </w:r>
      <w:r>
        <w:rPr>
          <w:rFonts w:ascii="Arial" w:eastAsia="Arial" w:hAnsi="Arial" w:cs="Arial"/>
          <w:i/>
        </w:rPr>
        <w:t>a composición del consejo de administración para incrementar en dos miembros el número de vocales, que serían designados por las Corporaciones Locales canarias y representarían, uno de ellos, a la totalidad de los Cabildos Insulares y, otro, a la totalidad</w:t>
      </w:r>
      <w:r>
        <w:rPr>
          <w:rFonts w:ascii="Arial" w:eastAsia="Arial" w:hAnsi="Arial" w:cs="Arial"/>
          <w:i/>
        </w:rPr>
        <w:t xml:space="preserve"> de los Ayuntamientos que le consideran medio propio personificado… </w:t>
      </w:r>
    </w:p>
    <w:p w:rsidR="00FA7413" w:rsidRDefault="00D712A8">
      <w:pPr>
        <w:spacing w:after="0" w:line="247" w:lineRule="auto"/>
        <w:ind w:left="718" w:right="62" w:firstLine="350"/>
        <w:jc w:val="both"/>
      </w:pPr>
      <w:r>
        <w:rPr>
          <w:noProof/>
        </w:rPr>
        <mc:AlternateContent>
          <mc:Choice Requires="wpg">
            <w:drawing>
              <wp:anchor distT="0" distB="0" distL="114300" distR="114300" simplePos="0" relativeHeight="251757568"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7748" name="Group 217748"/>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1134" name="Rectangle 11134"/>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1135" name="Rectangle 11135"/>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96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7748" style="width:12.7031pt;height:275.586pt;position:absolute;mso-position-horizontal-relative:page;mso-position-horizontal:absolute;margin-left:682.278pt;mso-position-vertical-relative:page;margin-top:536.334pt;" coordsize="1613,34999">
                <v:rect id="Rectangle 11134"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1135"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96 de 180 </w:t>
                        </w:r>
                      </w:p>
                    </w:txbxContent>
                  </v:textbox>
                </v:rect>
                <w10:wrap type="square"/>
              </v:group>
            </w:pict>
          </mc:Fallback>
        </mc:AlternateContent>
      </w:r>
      <w:r>
        <w:rPr>
          <w:rFonts w:ascii="Arial" w:eastAsia="Arial" w:hAnsi="Arial" w:cs="Arial"/>
          <w:i/>
        </w:rPr>
        <w:t xml:space="preserve"> 5º.- Que en virtud de lo dispuesto en el citado acuerdo, en el Consejo de Administración de la sociedad, están representados todos los Cabildos Insulares y todos</w:t>
      </w:r>
      <w:r>
        <w:rPr>
          <w:rFonts w:ascii="Arial" w:eastAsia="Arial" w:hAnsi="Arial" w:cs="Arial"/>
          <w:i/>
        </w:rPr>
        <w:t xml:space="preserve"> los Ayuntamientos de los que Gesplan es medio propio personificado, con dos vocales, uno que representa a la totalidad de los Cabildos, y otro que representa a la totalidad de los Ayuntamientos.  </w:t>
      </w:r>
    </w:p>
    <w:p w:rsidR="00FA7413" w:rsidRDefault="00D712A8">
      <w:pPr>
        <w:spacing w:after="0" w:line="247" w:lineRule="auto"/>
        <w:ind w:left="718" w:right="62" w:firstLine="350"/>
        <w:jc w:val="both"/>
      </w:pPr>
      <w:r>
        <w:rPr>
          <w:rFonts w:ascii="Arial" w:eastAsia="Arial" w:hAnsi="Arial" w:cs="Arial"/>
          <w:i/>
        </w:rPr>
        <w:t>6º.- Que el poder adjudicador ejerce sobre Gesplan un cont</w:t>
      </w:r>
      <w:r>
        <w:rPr>
          <w:rFonts w:ascii="Arial" w:eastAsia="Arial" w:hAnsi="Arial" w:cs="Arial"/>
          <w:i/>
        </w:rPr>
        <w:t>rol análogo al que ejerce sobre sus propios servicios. 7º.- Que la sociedad no puede realizar funciones que impliquen ejercicio de autoridad o requieran el ejercicio de potestades administrativas, salvo atribución expresa por Ley, ni puede perseguir intere</w:t>
      </w:r>
      <w:r>
        <w:rPr>
          <w:rFonts w:ascii="Arial" w:eastAsia="Arial" w:hAnsi="Arial" w:cs="Arial"/>
          <w:i/>
        </w:rPr>
        <w:t xml:space="preserve">ses contrarios a los intereses de los entes titulares que realicen los encargos, no pudiendo implicar, en ningún caso, atribución de funciones o facultades sujetas a Derecho Administrativo propias de la Administración. </w:t>
      </w:r>
    </w:p>
    <w:p w:rsidR="00FA7413" w:rsidRDefault="00D712A8">
      <w:pPr>
        <w:spacing w:after="0" w:line="247" w:lineRule="auto"/>
        <w:ind w:left="718" w:right="62" w:firstLine="350"/>
        <w:jc w:val="both"/>
      </w:pPr>
      <w:r>
        <w:rPr>
          <w:rFonts w:ascii="Arial" w:eastAsia="Arial" w:hAnsi="Arial" w:cs="Arial"/>
          <w:i/>
        </w:rPr>
        <w:t>7º.- Que la sociedad no puede realiz</w:t>
      </w:r>
      <w:r>
        <w:rPr>
          <w:rFonts w:ascii="Arial" w:eastAsia="Arial" w:hAnsi="Arial" w:cs="Arial"/>
          <w:i/>
        </w:rPr>
        <w:t>ar funciones que impliquen ejercicio de autoridad o requieran el ejercicio de potestades administrativas, salvo atribución expresa por Ley, ni puede perseguir intereses contrarios a los intereses de los entes titulares que realicen los encargos, no pudiend</w:t>
      </w:r>
      <w:r>
        <w:rPr>
          <w:rFonts w:ascii="Arial" w:eastAsia="Arial" w:hAnsi="Arial" w:cs="Arial"/>
          <w:i/>
        </w:rPr>
        <w:t xml:space="preserve">o implicar, en ningún caso, atribución de funciones o facultades sujetas a Derecho Administrativo propias de la Administración.  </w:t>
      </w:r>
    </w:p>
    <w:p w:rsidR="00FA7413" w:rsidRDefault="00D712A8">
      <w:pPr>
        <w:spacing w:after="0" w:line="247" w:lineRule="auto"/>
        <w:ind w:left="718" w:right="62" w:firstLine="350"/>
        <w:jc w:val="both"/>
      </w:pPr>
      <w:r>
        <w:rPr>
          <w:rFonts w:ascii="Arial" w:eastAsia="Arial" w:hAnsi="Arial" w:cs="Arial"/>
          <w:i/>
        </w:rPr>
        <w:t>8º.- Que mediante Orden, nº 187/2019, de 11 de Julio, de la Consejería de Transición Ecológica, Lucha contra el cambio Climáti</w:t>
      </w:r>
      <w:r>
        <w:rPr>
          <w:rFonts w:ascii="Arial" w:eastAsia="Arial" w:hAnsi="Arial" w:cs="Arial"/>
          <w:i/>
        </w:rPr>
        <w:t>co y Planificación Territorial, se aprueban las tarifas aplicables a las actuaciones a realizar por Gesplan como medio propio personificado dependiente de la citada Consejería, modificada por Orden, nº 39/2019, de 30 de septiembre, modificada ésta a su vez</w:t>
      </w:r>
      <w:r>
        <w:rPr>
          <w:rFonts w:ascii="Arial" w:eastAsia="Arial" w:hAnsi="Arial" w:cs="Arial"/>
          <w:i/>
        </w:rPr>
        <w:t xml:space="preserve"> por Orden, nº 47/2019, de 7 de octubre. </w:t>
      </w:r>
    </w:p>
    <w:p w:rsidR="00FA7413" w:rsidRDefault="00D712A8">
      <w:pPr>
        <w:spacing w:after="0" w:line="247" w:lineRule="auto"/>
        <w:ind w:left="728" w:right="62" w:hanging="10"/>
        <w:jc w:val="both"/>
      </w:pPr>
      <w:r>
        <w:rPr>
          <w:rFonts w:ascii="Arial" w:eastAsia="Arial" w:hAnsi="Arial" w:cs="Arial"/>
          <w:i/>
        </w:rPr>
        <w:t xml:space="preserve">9º.- Que de conformidad con lo establecido en el apartado 2b del citado artículo, más del 80 % de las actividades de esta sociedad mercantil pública se lleva a cabo en el ejercicio de los cometidos que le han sido </w:t>
      </w:r>
      <w:r>
        <w:rPr>
          <w:rFonts w:ascii="Arial" w:eastAsia="Arial" w:hAnsi="Arial" w:cs="Arial"/>
          <w:i/>
        </w:rPr>
        <w:t xml:space="preserve">confiados por el poder adjudicador que la controla o por otras personas jurídicas controladas por dicho poder adjudicador, cumpliéndose dicho porcentaje en los tres ejercicios anteriores.  </w:t>
      </w:r>
    </w:p>
    <w:p w:rsidR="00FA7413" w:rsidRDefault="00D712A8">
      <w:pPr>
        <w:spacing w:after="11" w:line="247" w:lineRule="auto"/>
        <w:ind w:left="728" w:right="62" w:hanging="10"/>
        <w:jc w:val="both"/>
      </w:pPr>
      <w:r>
        <w:rPr>
          <w:rFonts w:ascii="Arial" w:eastAsia="Arial" w:hAnsi="Arial" w:cs="Arial"/>
          <w:i/>
        </w:rPr>
        <w:t>10º.- Que no existe participación directa de capital privado en es</w:t>
      </w:r>
      <w:r>
        <w:rPr>
          <w:rFonts w:ascii="Arial" w:eastAsia="Arial" w:hAnsi="Arial" w:cs="Arial"/>
          <w:i/>
        </w:rPr>
        <w:t xml:space="preserve">ta sociedad.  </w:t>
      </w:r>
    </w:p>
    <w:p w:rsidR="00FA7413" w:rsidRDefault="00D712A8">
      <w:pPr>
        <w:spacing w:after="0" w:line="247" w:lineRule="auto"/>
        <w:ind w:left="728" w:right="62" w:hanging="10"/>
        <w:jc w:val="both"/>
      </w:pPr>
      <w:r>
        <w:rPr>
          <w:rFonts w:ascii="Arial" w:eastAsia="Arial" w:hAnsi="Arial" w:cs="Arial"/>
          <w:i/>
        </w:rPr>
        <w:t>11º.- Que la actividad procedente de los poderes adjudicadores de esta sociedad mercantil pública en los cuatro últimos ejercicios ha sido del 97% (ejercicio 2017), 97% (ejercicio 2018), 98% (ejercicio 2019) y 99,72% (ejercicio 2020) superan</w:t>
      </w:r>
      <w:r>
        <w:rPr>
          <w:rFonts w:ascii="Arial" w:eastAsia="Arial" w:hAnsi="Arial" w:cs="Arial"/>
          <w:i/>
        </w:rPr>
        <w:t xml:space="preserve">do el 80% exigido en la Ley.  </w:t>
      </w:r>
    </w:p>
    <w:p w:rsidR="00FA7413" w:rsidRDefault="00D712A8">
      <w:pPr>
        <w:spacing w:after="0" w:line="247" w:lineRule="auto"/>
        <w:ind w:left="728" w:right="62" w:hanging="10"/>
        <w:jc w:val="both"/>
      </w:pPr>
      <w:r>
        <w:rPr>
          <w:rFonts w:ascii="Arial" w:eastAsia="Arial" w:hAnsi="Arial" w:cs="Arial"/>
          <w:i/>
        </w:rPr>
        <w:t>12º.- Que Gesplan, según lo establecido en sus estatutos y en cumplimiento de lo regulado en el artículo 32 de la Ley 9/2017, de 8 de noviembre, de Contratos del Sector Público, así como en el artículo 32 (régimen jurídico de</w:t>
      </w:r>
      <w:r>
        <w:rPr>
          <w:rFonts w:ascii="Arial" w:eastAsia="Arial" w:hAnsi="Arial" w:cs="Arial"/>
          <w:i/>
        </w:rPr>
        <w:t xml:space="preserve"> las encomiendas de gestión) de la Ley 4/2012, de 25 de junio, de medidas administrativas y fiscales, puede realizar las actividades de carácter material, técnico o de servicios que le encargue, entre otros, la Administración Pública de la Comunidad Autóno</w:t>
      </w:r>
      <w:r>
        <w:rPr>
          <w:rFonts w:ascii="Arial" w:eastAsia="Arial" w:hAnsi="Arial" w:cs="Arial"/>
          <w:i/>
        </w:rPr>
        <w:t>ma de Canarias y los organismos autónomos dependientes de ella en el marco de sus respectivas competencias y funciones y en las materias que constituyan su objeto social, todo ello en cumplimiento a lo establecido en la escritura pública nº 1101 de 7 de ju</w:t>
      </w:r>
      <w:r>
        <w:rPr>
          <w:rFonts w:ascii="Arial" w:eastAsia="Arial" w:hAnsi="Arial" w:cs="Arial"/>
          <w:i/>
        </w:rPr>
        <w:t>nio de 2019, por la que se modifica el artículo 1 de sus Estatutos para adaptarlos a la nueva Ley de Contratos del Sector Público, estando debidamente inscrita en el Registro Mercantil correspondiente, así como en lo establecido en la escritura pública con</w:t>
      </w:r>
      <w:r>
        <w:rPr>
          <w:rFonts w:ascii="Arial" w:eastAsia="Arial" w:hAnsi="Arial" w:cs="Arial"/>
          <w:i/>
        </w:rPr>
        <w:t xml:space="preserve"> nº de protocolo 1112, otorgada con fecha 22 de julio de 2020 relativa a la modificación del art. 1 de sus Estatutos al objeto de adaptarlos a la Ley 9/2017, de 8 de noviembre, de Contratos del Sector Público. </w:t>
      </w:r>
    </w:p>
    <w:p w:rsidR="00FA7413" w:rsidRDefault="00D712A8">
      <w:pPr>
        <w:spacing w:after="0" w:line="247" w:lineRule="auto"/>
        <w:ind w:left="728" w:right="62" w:hanging="10"/>
        <w:jc w:val="both"/>
      </w:pPr>
      <w:r>
        <w:rPr>
          <w:noProof/>
        </w:rPr>
        <mc:AlternateContent>
          <mc:Choice Requires="wpg">
            <w:drawing>
              <wp:anchor distT="0" distB="0" distL="114300" distR="114300" simplePos="0" relativeHeight="251758592"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7697" name="Group 217697"/>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1261" name="Rectangle 11261"/>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Cód. Validación: 946JAL4TJAGYNDDM76ZM7ZAYZ</w:t>
                              </w:r>
                              <w:r>
                                <w:rPr>
                                  <w:rFonts w:ascii="Arial" w:eastAsia="Arial" w:hAnsi="Arial" w:cs="Arial"/>
                                  <w:sz w:val="12"/>
                                </w:rPr>
                                <w:t xml:space="preserve"> | Verificación: https://candelaria.sedelectronica.es/ </w:t>
                              </w:r>
                            </w:p>
                          </w:txbxContent>
                        </wps:txbx>
                        <wps:bodyPr horzOverflow="overflow" vert="horz" lIns="0" tIns="0" rIns="0" bIns="0" rtlCol="0">
                          <a:noAutofit/>
                        </wps:bodyPr>
                      </wps:wsp>
                      <wps:wsp>
                        <wps:cNvPr id="11262" name="Rectangle 11262"/>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97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7697" style="width:12.7031pt;height:275.586pt;position:absolute;mso-position-horizontal-relative:page;mso-position-horizontal:absolute;margin-left:682.278pt;mso-position-vertical-relative:page;margin-top:536.334pt;" coordsize="1613,34999">
                <v:rect id="Rectangle 11261"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1262"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97 de 180 </w:t>
                        </w:r>
                      </w:p>
                    </w:txbxContent>
                  </v:textbox>
                </v:rect>
                <w10:wrap type="square"/>
              </v:group>
            </w:pict>
          </mc:Fallback>
        </mc:AlternateContent>
      </w:r>
      <w:r>
        <w:rPr>
          <w:rFonts w:ascii="Arial" w:eastAsia="Arial" w:hAnsi="Arial" w:cs="Arial"/>
          <w:i/>
        </w:rPr>
        <w:t>13º.- Que en base al cumplimiento del Acuerdo de Gobierno de 24 de abril de 2014, relativo al Informe so</w:t>
      </w:r>
      <w:r>
        <w:rPr>
          <w:rFonts w:ascii="Arial" w:eastAsia="Arial" w:hAnsi="Arial" w:cs="Arial"/>
          <w:i/>
        </w:rPr>
        <w:t xml:space="preserve">bre las medidas preventivas de detección temprana de procedimientos Residencial Amarca Avda. 3 de Mayo, 71 Local Bajo B 38005 Santa Cruz de Tenerife Apdo. 10.167 T. 922 887 887 F. 922 223 914 tenerife@gesplan.org C/ León y Castillo, 54 35003 Las Palmas de </w:t>
      </w:r>
      <w:r>
        <w:rPr>
          <w:rFonts w:ascii="Arial" w:eastAsia="Arial" w:hAnsi="Arial" w:cs="Arial"/>
          <w:i/>
        </w:rPr>
        <w:t xml:space="preserve">Gran Canaria Apdo. 3.674 T. 928 301 150 F. 928 380 299 contacto@gesplan.es previstas en el Acuerdo de Gobierno de 20 de febrero de 2014, Gesplan velará para facturar los encargos que se le realicen sin que se ponga en riesgo su sostenibilidad financiera y </w:t>
      </w:r>
      <w:r>
        <w:rPr>
          <w:rFonts w:ascii="Arial" w:eastAsia="Arial" w:hAnsi="Arial" w:cs="Arial"/>
          <w:i/>
        </w:rPr>
        <w:t>que la repercusión del mismo en relación con el resultado del ejercicio no tendrá efecto negativo, así como que en la planificación de costes prevista estarán cubiertos todos los gastos que se deriven de la misma, y en relación con su incidencia en la corr</w:t>
      </w:r>
      <w:r>
        <w:rPr>
          <w:rFonts w:ascii="Arial" w:eastAsia="Arial" w:hAnsi="Arial" w:cs="Arial"/>
          <w:i/>
        </w:rPr>
        <w:t>ientes de cobros y pagos, se procederá a solicitar anticipo de tesorería en el caso de que por su forma de facturación así lo permita, de conformidad con la Orden de 1 de octubre de 2007 sobre procedimiento para la tramitación de anticipos de tesorería a l</w:t>
      </w:r>
      <w:r>
        <w:rPr>
          <w:rFonts w:ascii="Arial" w:eastAsia="Arial" w:hAnsi="Arial" w:cs="Arial"/>
          <w:i/>
        </w:rPr>
        <w:t>os entes integrantes del sector público autonómico por el plazo no superior de un año (BOC nº 208, de 18 de octubre de 2007), o el abono anticipado de conformidad con lo establecido en la Resolución de 14 de febrero de 2020 (publicado en el BOC nº39, de 26</w:t>
      </w:r>
      <w:r>
        <w:rPr>
          <w:rFonts w:ascii="Arial" w:eastAsia="Arial" w:hAnsi="Arial" w:cs="Arial"/>
          <w:i/>
        </w:rPr>
        <w:t xml:space="preserve"> de febrero), por la que se dispone la publicación del Acuerdo que modifica el Acuerdo de Gobierno de 22 de febrero de 2016, por el que se aprueban los criterios generales y medidas que conforman el marco de referencia para la asignación y el uso eficiente</w:t>
      </w:r>
      <w:r>
        <w:rPr>
          <w:rFonts w:ascii="Arial" w:eastAsia="Arial" w:hAnsi="Arial" w:cs="Arial"/>
          <w:i/>
        </w:rPr>
        <w:t xml:space="preserve"> de los recursos públicos en el sector público autonómico, en la Ley 7/2020, de 29 de diciembre, de Presupuestos Generales de la Comunidad Autónoma de Canarias para el ejercicio 2021, y conformidad con el Acuerdo de Gobierno de 26 de marzo de 2020, publica</w:t>
      </w:r>
      <w:r>
        <w:rPr>
          <w:rFonts w:ascii="Arial" w:eastAsia="Arial" w:hAnsi="Arial" w:cs="Arial"/>
          <w:i/>
        </w:rPr>
        <w:t>do en el BOC nº 73 de 14 de abril de 2020 relativo a las condiciones de autorización de los abonos anticipados de subvenciones, aportaciones dinerarias, encargos y encomiendas de gestión, modificado mediante la Resolución de 1 de octubre de 2020, publicada</w:t>
      </w:r>
      <w:r>
        <w:rPr>
          <w:rFonts w:ascii="Arial" w:eastAsia="Arial" w:hAnsi="Arial" w:cs="Arial"/>
          <w:i/>
        </w:rPr>
        <w:t xml:space="preserve"> en el BOC nº 208, de 9 de octubre y mediante la Resolución de 26 de noviembre de 2020, publicada en el BOC nº 248, de 4 de diciembre de 2020 y por último de 25 de febrero de 2021.</w:t>
      </w:r>
      <w:r>
        <w:rPr>
          <w:rFonts w:ascii="Arial" w:eastAsia="Arial" w:hAnsi="Arial" w:cs="Arial"/>
        </w:rPr>
        <w:t>”</w:t>
      </w:r>
      <w:r>
        <w:rPr>
          <w:rFonts w:ascii="Times New Roman" w:eastAsia="Times New Roman" w:hAnsi="Times New Roman" w:cs="Times New Roman"/>
          <w:sz w:val="24"/>
        </w:rPr>
        <w:t xml:space="preserve"> </w:t>
      </w:r>
    </w:p>
    <w:p w:rsidR="00FA7413" w:rsidRDefault="00D712A8">
      <w:pPr>
        <w:spacing w:after="0"/>
        <w:ind w:left="718"/>
      </w:pPr>
      <w:r>
        <w:rPr>
          <w:rFonts w:ascii="Arial" w:eastAsia="Arial" w:hAnsi="Arial" w:cs="Arial"/>
          <w:b/>
        </w:rPr>
        <w:t xml:space="preserve"> </w:t>
      </w:r>
    </w:p>
    <w:p w:rsidR="00FA7413" w:rsidRDefault="00D712A8">
      <w:pPr>
        <w:spacing w:after="0"/>
        <w:ind w:left="718"/>
      </w:pPr>
      <w:r>
        <w:rPr>
          <w:rFonts w:ascii="Arial" w:eastAsia="Arial" w:hAnsi="Arial" w:cs="Arial"/>
          <w:b/>
        </w:rPr>
        <w:t xml:space="preserve"> </w:t>
      </w:r>
    </w:p>
    <w:p w:rsidR="00FA7413" w:rsidRDefault="00D712A8">
      <w:pPr>
        <w:spacing w:after="0"/>
        <w:ind w:left="718"/>
      </w:pPr>
      <w:r>
        <w:rPr>
          <w:rFonts w:ascii="Arial" w:eastAsia="Arial" w:hAnsi="Arial" w:cs="Arial"/>
          <w:b/>
        </w:rPr>
        <w:t xml:space="preserve"> </w:t>
      </w:r>
    </w:p>
    <w:p w:rsidR="00FA7413" w:rsidRDefault="00D712A8">
      <w:pPr>
        <w:spacing w:after="0"/>
        <w:ind w:left="718"/>
      </w:pPr>
      <w:r>
        <w:rPr>
          <w:rFonts w:ascii="Arial" w:eastAsia="Arial" w:hAnsi="Arial" w:cs="Arial"/>
          <w:b/>
        </w:rPr>
        <w:t xml:space="preserve"> </w:t>
      </w:r>
    </w:p>
    <w:p w:rsidR="00FA7413" w:rsidRDefault="00D712A8">
      <w:pPr>
        <w:spacing w:after="0"/>
        <w:ind w:left="718"/>
      </w:pPr>
      <w:r>
        <w:rPr>
          <w:rFonts w:ascii="Arial" w:eastAsia="Arial" w:hAnsi="Arial" w:cs="Arial"/>
          <w:b/>
        </w:rPr>
        <w:t xml:space="preserve"> </w:t>
      </w:r>
    </w:p>
    <w:p w:rsidR="00FA7413" w:rsidRDefault="00D712A8">
      <w:pPr>
        <w:spacing w:after="0"/>
        <w:ind w:left="718"/>
      </w:pPr>
      <w:r>
        <w:rPr>
          <w:rFonts w:ascii="Arial" w:eastAsia="Arial" w:hAnsi="Arial" w:cs="Arial"/>
          <w:b/>
        </w:rPr>
        <w:t xml:space="preserve"> </w:t>
      </w:r>
    </w:p>
    <w:p w:rsidR="00FA7413" w:rsidRDefault="00D712A8">
      <w:pPr>
        <w:spacing w:after="0"/>
        <w:ind w:left="1013" w:right="717" w:hanging="10"/>
        <w:jc w:val="center"/>
      </w:pPr>
      <w:r>
        <w:rPr>
          <w:rFonts w:ascii="Arial" w:eastAsia="Arial" w:hAnsi="Arial" w:cs="Arial"/>
          <w:b/>
        </w:rPr>
        <w:t xml:space="preserve">FUNDAMENTOS JURÍDICOS </w:t>
      </w:r>
    </w:p>
    <w:p w:rsidR="00FA7413" w:rsidRDefault="00D712A8">
      <w:pPr>
        <w:spacing w:after="0"/>
        <w:ind w:left="346"/>
        <w:jc w:val="center"/>
      </w:pPr>
      <w:r>
        <w:rPr>
          <w:rFonts w:ascii="Arial" w:eastAsia="Arial" w:hAnsi="Arial" w:cs="Arial"/>
          <w:b/>
        </w:rPr>
        <w:t xml:space="preserve"> </w:t>
      </w:r>
    </w:p>
    <w:p w:rsidR="00FA7413" w:rsidRDefault="00D712A8">
      <w:pPr>
        <w:pStyle w:val="Ttulo1"/>
        <w:spacing w:after="0"/>
        <w:ind w:left="1013" w:right="718"/>
      </w:pPr>
      <w:r>
        <w:t xml:space="preserve">PRIMERO </w:t>
      </w:r>
    </w:p>
    <w:p w:rsidR="00FA7413" w:rsidRDefault="00D712A8">
      <w:pPr>
        <w:spacing w:after="0"/>
        <w:ind w:left="346"/>
        <w:jc w:val="center"/>
      </w:pP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w:t>
      </w:r>
      <w:r>
        <w:rPr>
          <w:rFonts w:ascii="Arial" w:eastAsia="Arial" w:hAnsi="Arial" w:cs="Arial"/>
          <w:b/>
        </w:rPr>
        <w:t xml:space="preserve">Posibilidad de que el Ayuntamiento considere como medio propio personificado a una entidad del sector público autonómico. </w:t>
      </w:r>
    </w:p>
    <w:p w:rsidR="00FA7413" w:rsidRDefault="00D712A8">
      <w:pPr>
        <w:spacing w:after="0"/>
        <w:ind w:left="360"/>
      </w:pPr>
      <w:r>
        <w:rPr>
          <w:rFonts w:ascii="Arial" w:eastAsia="Arial" w:hAnsi="Arial" w:cs="Arial"/>
          <w:b/>
        </w:rPr>
        <w:t xml:space="preserve"> </w:t>
      </w:r>
    </w:p>
    <w:p w:rsidR="00FA7413" w:rsidRDefault="00D712A8">
      <w:pPr>
        <w:spacing w:after="352" w:line="248" w:lineRule="auto"/>
        <w:ind w:left="355" w:right="62" w:hanging="10"/>
        <w:jc w:val="both"/>
      </w:pPr>
      <w:r>
        <w:rPr>
          <w:rFonts w:ascii="Arial" w:eastAsia="Arial" w:hAnsi="Arial" w:cs="Arial"/>
          <w:b/>
        </w:rPr>
        <w:t xml:space="preserve"> 1.- Art. 32-Régimen jurídico de las encomiendas de gestión- de la Ley 4/2012, de 25 de junio, de medidas administrativas y fiscale</w:t>
      </w:r>
      <w:r>
        <w:rPr>
          <w:rFonts w:ascii="Arial" w:eastAsia="Arial" w:hAnsi="Arial" w:cs="Arial"/>
          <w:b/>
        </w:rPr>
        <w:t xml:space="preserve">s, dice: </w:t>
      </w:r>
    </w:p>
    <w:p w:rsidR="00FA7413" w:rsidRDefault="00D712A8">
      <w:pPr>
        <w:tabs>
          <w:tab w:val="center" w:pos="360"/>
          <w:tab w:val="center" w:pos="4224"/>
        </w:tabs>
        <w:spacing w:after="147" w:line="248" w:lineRule="auto"/>
      </w:pPr>
      <w:r>
        <w:tab/>
      </w:r>
      <w:r>
        <w:rPr>
          <w:rFonts w:ascii="Arial" w:eastAsia="Arial" w:hAnsi="Arial" w:cs="Arial"/>
          <w:b/>
          <w:color w:val="2E74B5"/>
        </w:rPr>
        <w:t xml:space="preserve"> </w:t>
      </w:r>
      <w:r>
        <w:rPr>
          <w:rFonts w:ascii="Arial" w:eastAsia="Arial" w:hAnsi="Arial" w:cs="Arial"/>
          <w:b/>
          <w:color w:val="2E74B5"/>
        </w:rPr>
        <w:tab/>
        <w:t xml:space="preserve">“ </w:t>
      </w:r>
      <w:r>
        <w:rPr>
          <w:rFonts w:ascii="Arial" w:eastAsia="Arial" w:hAnsi="Arial" w:cs="Arial"/>
        </w:rPr>
        <w:t>Artículo 32. Régimen jurídico de las encomiendas de gestión.</w:t>
      </w:r>
      <w:r>
        <w:rPr>
          <w:color w:val="2E74B5"/>
          <w:sz w:val="24"/>
        </w:rPr>
        <w:t xml:space="preserve"> </w:t>
      </w:r>
    </w:p>
    <w:p w:rsidR="00FA7413" w:rsidRDefault="00D712A8">
      <w:pPr>
        <w:spacing w:after="152" w:line="249" w:lineRule="auto"/>
        <w:ind w:left="345" w:right="62" w:firstLine="360"/>
        <w:jc w:val="both"/>
      </w:pPr>
      <w:r>
        <w:rPr>
          <w:rFonts w:ascii="Arial" w:eastAsia="Arial" w:hAnsi="Arial" w:cs="Arial"/>
        </w:rPr>
        <w:t>“</w:t>
      </w:r>
      <w:r>
        <w:rPr>
          <w:rFonts w:ascii="Arial" w:eastAsia="Arial" w:hAnsi="Arial" w:cs="Arial"/>
          <w:b/>
          <w:i/>
        </w:rPr>
        <w:t xml:space="preserve">1. Los entes, organismos y entidades del sector público que cumplan con lo establecido en el artículo </w:t>
      </w:r>
      <w:r>
        <w:rPr>
          <w:rFonts w:ascii="Arial" w:eastAsia="Arial" w:hAnsi="Arial" w:cs="Arial"/>
          <w:b/>
          <w:i/>
        </w:rPr>
        <w:t xml:space="preserve">24.6 del texto refundido de la Ley de Contratos del Sector Público, aprobado por Real Decreto Legislativo 3/2011, de 14 de noviembre, podrán realizar las actividades de carácter material, técnico o de servicios que le encomienden la Administración Pública </w:t>
      </w:r>
      <w:r>
        <w:rPr>
          <w:rFonts w:ascii="Arial" w:eastAsia="Arial" w:hAnsi="Arial" w:cs="Arial"/>
          <w:b/>
          <w:i/>
        </w:rPr>
        <w:t>de la Comunidad Autónoma de Canarias, los organismos autónomos dependientes de ella y los cabildos insulares en el marco de sus respectivas competencias y funciones y en las materias que constituyen el objeto social de los mismos, y especialmente, aquellas</w:t>
      </w:r>
      <w:r>
        <w:rPr>
          <w:rFonts w:ascii="Arial" w:eastAsia="Arial" w:hAnsi="Arial" w:cs="Arial"/>
          <w:b/>
          <w:i/>
        </w:rPr>
        <w:t xml:space="preserve"> que sean urgentes o que se ordenen como consecuencia de las situaciones de emergencia que se declaren.</w:t>
      </w:r>
      <w:r>
        <w:rPr>
          <w:rFonts w:ascii="Times New Roman" w:eastAsia="Times New Roman" w:hAnsi="Times New Roman" w:cs="Times New Roman"/>
          <w:sz w:val="24"/>
        </w:rPr>
        <w:t xml:space="preserve"> </w:t>
      </w:r>
    </w:p>
    <w:p w:rsidR="00FA7413" w:rsidRDefault="00D712A8">
      <w:pPr>
        <w:numPr>
          <w:ilvl w:val="0"/>
          <w:numId w:val="19"/>
        </w:numPr>
        <w:spacing w:after="156" w:line="247" w:lineRule="auto"/>
        <w:ind w:right="62" w:firstLine="360"/>
        <w:jc w:val="both"/>
      </w:pPr>
      <w:r>
        <w:rPr>
          <w:noProof/>
        </w:rPr>
        <mc:AlternateContent>
          <mc:Choice Requires="wpg">
            <w:drawing>
              <wp:anchor distT="0" distB="0" distL="114300" distR="114300" simplePos="0" relativeHeight="251759616"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5061" name="Group 215061"/>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1429" name="Rectangle 11429"/>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1430" name="Rectangle 11430"/>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Documento firmado electrónicamente desde la plat</w:t>
                              </w:r>
                              <w:r>
                                <w:rPr>
                                  <w:rFonts w:ascii="Arial" w:eastAsia="Arial" w:hAnsi="Arial" w:cs="Arial"/>
                                  <w:sz w:val="12"/>
                                </w:rPr>
                                <w:t xml:space="preserve">aforma esPublico Gestiona | Página 98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5061" style="width:12.7031pt;height:275.586pt;position:absolute;mso-position-horizontal-relative:page;mso-position-horizontal:absolute;margin-left:682.278pt;mso-position-vertical-relative:page;margin-top:536.334pt;" coordsize="1613,34999">
                <v:rect id="Rectangle 11429"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1430"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98 de 180 </w:t>
                        </w:r>
                      </w:p>
                    </w:txbxContent>
                  </v:textbox>
                </v:rect>
                <w10:wrap type="square"/>
              </v:group>
            </w:pict>
          </mc:Fallback>
        </mc:AlternateContent>
      </w:r>
      <w:r>
        <w:rPr>
          <w:rFonts w:ascii="Arial" w:eastAsia="Arial" w:hAnsi="Arial" w:cs="Arial"/>
          <w:i/>
        </w:rPr>
        <w:t xml:space="preserve">Las encomiendas de gestión a que se refieren los apartados anteriores se formalizarán por escrito y regularán mediante los instrumentos jurídicos, que deberán ser autorizados por el titular del departamento al </w:t>
      </w:r>
      <w:r>
        <w:rPr>
          <w:rFonts w:ascii="Arial" w:eastAsia="Arial" w:hAnsi="Arial" w:cs="Arial"/>
          <w:i/>
        </w:rPr>
        <w:t>que estén adscritas las entidades encomendadas. Deberán incluir, al menos, una relación detallada de la actividad o actividades a las que afecten y su plazo de realización.</w:t>
      </w:r>
      <w:r>
        <w:rPr>
          <w:rFonts w:ascii="Times New Roman" w:eastAsia="Times New Roman" w:hAnsi="Times New Roman" w:cs="Times New Roman"/>
          <w:sz w:val="24"/>
        </w:rPr>
        <w:t xml:space="preserve"> </w:t>
      </w:r>
    </w:p>
    <w:p w:rsidR="00FA7413" w:rsidRDefault="00D712A8">
      <w:pPr>
        <w:numPr>
          <w:ilvl w:val="0"/>
          <w:numId w:val="19"/>
        </w:numPr>
        <w:spacing w:after="157" w:line="247" w:lineRule="auto"/>
        <w:ind w:right="62" w:firstLine="360"/>
        <w:jc w:val="both"/>
      </w:pPr>
      <w:r>
        <w:rPr>
          <w:rFonts w:ascii="Arial" w:eastAsia="Arial" w:hAnsi="Arial" w:cs="Arial"/>
          <w:i/>
        </w:rPr>
        <w:t>La encomienda de dichas actividades no podrá implicar, en ningún caso, la atribuci</w:t>
      </w:r>
      <w:r>
        <w:rPr>
          <w:rFonts w:ascii="Arial" w:eastAsia="Arial" w:hAnsi="Arial" w:cs="Arial"/>
          <w:i/>
        </w:rPr>
        <w:t>ón a las entidades encomendadas de potestades, funciones o facultades sujetas a Derecho Administrativo propias de la Administración.</w:t>
      </w:r>
      <w:r>
        <w:rPr>
          <w:rFonts w:ascii="Times New Roman" w:eastAsia="Times New Roman" w:hAnsi="Times New Roman" w:cs="Times New Roman"/>
          <w:sz w:val="24"/>
        </w:rPr>
        <w:t xml:space="preserve"> </w:t>
      </w:r>
    </w:p>
    <w:p w:rsidR="00FA7413" w:rsidRDefault="00D712A8">
      <w:pPr>
        <w:numPr>
          <w:ilvl w:val="0"/>
          <w:numId w:val="19"/>
        </w:numPr>
        <w:spacing w:after="155" w:line="247" w:lineRule="auto"/>
        <w:ind w:right="62" w:firstLine="360"/>
        <w:jc w:val="both"/>
      </w:pPr>
      <w:r>
        <w:rPr>
          <w:rFonts w:ascii="Arial" w:eastAsia="Arial" w:hAnsi="Arial" w:cs="Arial"/>
          <w:i/>
        </w:rPr>
        <w:t>La comunicación del encargo de una actuación específica supondrá, para las entidades encomendadas, la orden para iniciarla</w:t>
      </w:r>
      <w:r>
        <w:rPr>
          <w:rFonts w:ascii="Arial" w:eastAsia="Arial" w:hAnsi="Arial" w:cs="Arial"/>
          <w:i/>
        </w:rPr>
        <w:t>, debiendo realizar su ejecución a partir de dicha notificación, y en los términos previstos en el correspondiente instrumento jurídico y en el propio encargo.</w:t>
      </w:r>
      <w:r>
        <w:rPr>
          <w:rFonts w:ascii="Times New Roman" w:eastAsia="Times New Roman" w:hAnsi="Times New Roman" w:cs="Times New Roman"/>
          <w:sz w:val="24"/>
        </w:rPr>
        <w:t xml:space="preserve"> </w:t>
      </w:r>
    </w:p>
    <w:p w:rsidR="00FA7413" w:rsidRDefault="00D712A8">
      <w:pPr>
        <w:numPr>
          <w:ilvl w:val="0"/>
          <w:numId w:val="19"/>
        </w:numPr>
        <w:spacing w:after="156" w:line="247" w:lineRule="auto"/>
        <w:ind w:right="62" w:firstLine="360"/>
        <w:jc w:val="both"/>
      </w:pPr>
      <w:r>
        <w:rPr>
          <w:rFonts w:ascii="Arial" w:eastAsia="Arial" w:hAnsi="Arial" w:cs="Arial"/>
          <w:i/>
        </w:rPr>
        <w:t>La tramitación del encargo podrá ultimarse anticipadamente cuando su ejecución deba iniciarse e</w:t>
      </w:r>
      <w:r>
        <w:rPr>
          <w:rFonts w:ascii="Arial" w:eastAsia="Arial" w:hAnsi="Arial" w:cs="Arial"/>
          <w:i/>
        </w:rPr>
        <w:t>n el ejercicio siguiente. En tales casos, el escrito de encargo de la encomienda deberá contener expresa referencia a que la realización del encargo queda sujeta a la condición de que en el ejercicio siguiente exista crédito adecuado y suficiente para fina</w:t>
      </w:r>
      <w:r>
        <w:rPr>
          <w:rFonts w:ascii="Arial" w:eastAsia="Arial" w:hAnsi="Arial" w:cs="Arial"/>
          <w:i/>
        </w:rPr>
        <w:t>nciar las actuaciones objeto del encargo. La efectiva ejecución de la encomienda no comenzará hasta que, iniciado el ejercicio siguiente y contraído el crédito, se curse la correspondiente comunicación al respecto.</w:t>
      </w:r>
      <w:r>
        <w:rPr>
          <w:rFonts w:ascii="Times New Roman" w:eastAsia="Times New Roman" w:hAnsi="Times New Roman" w:cs="Times New Roman"/>
          <w:sz w:val="24"/>
        </w:rPr>
        <w:t xml:space="preserve"> </w:t>
      </w:r>
    </w:p>
    <w:p w:rsidR="00FA7413" w:rsidRDefault="00D712A8">
      <w:pPr>
        <w:numPr>
          <w:ilvl w:val="0"/>
          <w:numId w:val="19"/>
        </w:numPr>
        <w:spacing w:after="154" w:line="247" w:lineRule="auto"/>
        <w:ind w:right="62" w:firstLine="360"/>
        <w:jc w:val="both"/>
      </w:pPr>
      <w:r>
        <w:rPr>
          <w:rFonts w:ascii="Arial" w:eastAsia="Arial" w:hAnsi="Arial" w:cs="Arial"/>
          <w:i/>
        </w:rPr>
        <w:t xml:space="preserve">El importe de las actuaciones objeto de </w:t>
      </w:r>
      <w:r>
        <w:rPr>
          <w:rFonts w:ascii="Arial" w:eastAsia="Arial" w:hAnsi="Arial" w:cs="Arial"/>
          <w:i/>
        </w:rPr>
        <w:t>encomienda se determinará atendiendo a costes reales, tanto directos como indirectos, necesarios para su realización, aplicando a las unidades ejecutadas las tarifas que estuviesen aprobadas, o, en su defecto, los precios que figuren en el presupuesto de e</w:t>
      </w:r>
      <w:r>
        <w:rPr>
          <w:rFonts w:ascii="Arial" w:eastAsia="Arial" w:hAnsi="Arial" w:cs="Arial"/>
          <w:i/>
        </w:rPr>
        <w:t>jecución previsto en la encomienda.</w:t>
      </w:r>
      <w:r>
        <w:rPr>
          <w:rFonts w:ascii="Times New Roman" w:eastAsia="Times New Roman" w:hAnsi="Times New Roman" w:cs="Times New Roman"/>
          <w:sz w:val="24"/>
        </w:rPr>
        <w:t xml:space="preserve"> </w:t>
      </w:r>
    </w:p>
    <w:p w:rsidR="00FA7413" w:rsidRDefault="00D712A8">
      <w:pPr>
        <w:numPr>
          <w:ilvl w:val="0"/>
          <w:numId w:val="19"/>
        </w:numPr>
        <w:spacing w:after="112" w:line="247" w:lineRule="auto"/>
        <w:ind w:right="62" w:firstLine="360"/>
        <w:jc w:val="both"/>
      </w:pPr>
      <w:r>
        <w:rPr>
          <w:rFonts w:ascii="Arial" w:eastAsia="Arial" w:hAnsi="Arial" w:cs="Arial"/>
          <w:i/>
        </w:rPr>
        <w:t>En el caso de cofinanciarse con fondos europeos, se deberá hacer constar dicha circunstancia en la encomienda, así como la obligatoriedad de cumplimiento de la normativa europea afectada.</w:t>
      </w:r>
      <w:r>
        <w:rPr>
          <w:rFonts w:ascii="Times New Roman" w:eastAsia="Times New Roman" w:hAnsi="Times New Roman" w:cs="Times New Roman"/>
          <w:sz w:val="24"/>
        </w:rPr>
        <w:t xml:space="preserve"> </w:t>
      </w:r>
    </w:p>
    <w:p w:rsidR="00FA7413" w:rsidRDefault="00D712A8">
      <w:pPr>
        <w:numPr>
          <w:ilvl w:val="0"/>
          <w:numId w:val="19"/>
        </w:numPr>
        <w:spacing w:after="156" w:line="247" w:lineRule="auto"/>
        <w:ind w:right="62" w:firstLine="360"/>
        <w:jc w:val="both"/>
      </w:pPr>
      <w:r>
        <w:rPr>
          <w:rFonts w:ascii="Arial" w:eastAsia="Arial" w:hAnsi="Arial" w:cs="Arial"/>
          <w:i/>
        </w:rPr>
        <w:t>Cuando en el ejercicio del con</w:t>
      </w:r>
      <w:r>
        <w:rPr>
          <w:rFonts w:ascii="Arial" w:eastAsia="Arial" w:hAnsi="Arial" w:cs="Arial"/>
          <w:i/>
        </w:rPr>
        <w:t>trol financiero o de auditoría pública, la Intervención General de la Administración Pública de la Comunidad Autónoma de Canarias detectase el abono a la entidad encomendada de cantidades que excedan de los gastos, directos e indirectos, del encargo realiz</w:t>
      </w:r>
      <w:r>
        <w:rPr>
          <w:rFonts w:ascii="Arial" w:eastAsia="Arial" w:hAnsi="Arial" w:cs="Arial"/>
          <w:i/>
        </w:rPr>
        <w:t>ado, o no se hubiera cumplido con el objeto del encargo, ésta emitirá un informe dirigido al órgano que realizó la encomienda para que proceda al inicio del oportuno expediente de reintegro o manifieste la discrepancia con su incoación.</w:t>
      </w:r>
      <w:r>
        <w:rPr>
          <w:rFonts w:ascii="Times New Roman" w:eastAsia="Times New Roman" w:hAnsi="Times New Roman" w:cs="Times New Roman"/>
          <w:sz w:val="24"/>
        </w:rPr>
        <w:t xml:space="preserve"> </w:t>
      </w:r>
    </w:p>
    <w:p w:rsidR="00FA7413" w:rsidRDefault="00D712A8">
      <w:pPr>
        <w:numPr>
          <w:ilvl w:val="0"/>
          <w:numId w:val="19"/>
        </w:numPr>
        <w:spacing w:after="154" w:line="247" w:lineRule="auto"/>
        <w:ind w:right="62" w:firstLine="360"/>
        <w:jc w:val="both"/>
      </w:pPr>
      <w:r>
        <w:rPr>
          <w:rFonts w:ascii="Arial" w:eastAsia="Arial" w:hAnsi="Arial" w:cs="Arial"/>
          <w:i/>
        </w:rPr>
        <w:t>El procedimiento de reintegro se regirá por las disposiciones generales sobre procedimientos administrativos contenidas en el título VI de la Ley 30/1992, de 26 de noviembre, de Régimen Jurídico de las Administraciones Públicas y del Procedimiento Administ</w:t>
      </w:r>
      <w:r>
        <w:rPr>
          <w:rFonts w:ascii="Arial" w:eastAsia="Arial" w:hAnsi="Arial" w:cs="Arial"/>
          <w:i/>
        </w:rPr>
        <w:t>rativo Común.</w:t>
      </w:r>
      <w:r>
        <w:rPr>
          <w:rFonts w:ascii="Times New Roman" w:eastAsia="Times New Roman" w:hAnsi="Times New Roman" w:cs="Times New Roman"/>
          <w:sz w:val="24"/>
        </w:rPr>
        <w:t xml:space="preserve"> </w:t>
      </w:r>
    </w:p>
    <w:p w:rsidR="00FA7413" w:rsidRDefault="00D712A8">
      <w:pPr>
        <w:numPr>
          <w:ilvl w:val="0"/>
          <w:numId w:val="19"/>
        </w:numPr>
        <w:spacing w:after="156" w:line="247" w:lineRule="auto"/>
        <w:ind w:right="62" w:firstLine="360"/>
        <w:jc w:val="both"/>
      </w:pPr>
      <w:r>
        <w:rPr>
          <w:rFonts w:ascii="Arial" w:eastAsia="Arial" w:hAnsi="Arial" w:cs="Arial"/>
          <w:i/>
        </w:rPr>
        <w:t>Las cantidades a reintegrar tendrán la consideración de ingresos de Derecho Público, siéndoles aplicables las normas sobre recaudación contenidas en la legislación tributaria.</w:t>
      </w:r>
      <w:r>
        <w:rPr>
          <w:rFonts w:ascii="Arial" w:eastAsia="Arial" w:hAnsi="Arial" w:cs="Arial"/>
        </w:rPr>
        <w:t>”</w:t>
      </w:r>
      <w:r>
        <w:rPr>
          <w:rFonts w:ascii="Times New Roman" w:eastAsia="Times New Roman" w:hAnsi="Times New Roman" w:cs="Times New Roman"/>
          <w:sz w:val="24"/>
        </w:rPr>
        <w:t xml:space="preserve">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3916" w:right="62" w:hanging="10"/>
        <w:jc w:val="both"/>
      </w:pPr>
      <w:r>
        <w:rPr>
          <w:rFonts w:ascii="Arial" w:eastAsia="Arial" w:hAnsi="Arial" w:cs="Arial"/>
          <w:b/>
        </w:rPr>
        <w:t xml:space="preserve">SEGUNDO </w:t>
      </w:r>
    </w:p>
    <w:p w:rsidR="00FA7413" w:rsidRDefault="00D712A8">
      <w:pPr>
        <w:spacing w:after="0"/>
        <w:ind w:left="1066"/>
        <w:jc w:val="center"/>
      </w:pPr>
      <w:r>
        <w:rPr>
          <w:rFonts w:ascii="Arial" w:eastAsia="Arial" w:hAnsi="Arial" w:cs="Arial"/>
          <w:b/>
        </w:rPr>
        <w:t xml:space="preserve"> </w:t>
      </w:r>
    </w:p>
    <w:p w:rsidR="00FA7413" w:rsidRDefault="00D712A8">
      <w:pPr>
        <w:pBdr>
          <w:bottom w:val="single" w:sz="6" w:space="0" w:color="CCCCCC"/>
        </w:pBdr>
        <w:shd w:val="clear" w:color="auto" w:fill="F9F9F9"/>
        <w:spacing w:after="231" w:line="216" w:lineRule="auto"/>
        <w:ind w:left="355" w:right="56" w:hanging="10"/>
        <w:jc w:val="both"/>
      </w:pPr>
      <w:r>
        <w:rPr>
          <w:rFonts w:ascii="Arial" w:eastAsia="Arial" w:hAnsi="Arial" w:cs="Arial"/>
          <w:b/>
        </w:rPr>
        <w:t xml:space="preserve"> Ley 9/2017, de 8 de noviembre, de Contratos del</w:t>
      </w:r>
      <w:r>
        <w:rPr>
          <w:rFonts w:ascii="Arial" w:eastAsia="Arial" w:hAnsi="Arial" w:cs="Arial"/>
          <w:b/>
        </w:rPr>
        <w:t xml:space="preserve"> Sector Público, por la que se transponen al ordenamiento jurídico español las Directivas del Parlamento Europeo y del Consejo 2014/23/UE y 2014/24/UE, de 26 de febrero de 2014.</w:t>
      </w:r>
      <w:r>
        <w:rPr>
          <w:sz w:val="26"/>
        </w:rPr>
        <w:t xml:space="preserve"> </w:t>
      </w:r>
    </w:p>
    <w:p w:rsidR="00FA7413" w:rsidRDefault="00D712A8">
      <w:pPr>
        <w:spacing w:after="95"/>
        <w:ind w:left="360"/>
      </w:pPr>
      <w:r>
        <w:rPr>
          <w:rFonts w:ascii="Arial" w:eastAsia="Arial" w:hAnsi="Arial" w:cs="Arial"/>
        </w:rPr>
        <w:t xml:space="preserve"> </w:t>
      </w:r>
    </w:p>
    <w:p w:rsidR="00FA7413" w:rsidRDefault="00D712A8">
      <w:pPr>
        <w:spacing w:after="171" w:line="248" w:lineRule="auto"/>
        <w:ind w:left="1426" w:right="62" w:hanging="360"/>
        <w:jc w:val="both"/>
      </w:pPr>
      <w:r>
        <w:rPr>
          <w:noProof/>
        </w:rPr>
        <mc:AlternateContent>
          <mc:Choice Requires="wpg">
            <w:drawing>
              <wp:anchor distT="0" distB="0" distL="114300" distR="114300" simplePos="0" relativeHeight="251760640"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2660" name="Group 212660"/>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1551" name="Rectangle 11551"/>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1552" name="Rectangle 11552"/>
                        <wps:cNvSpPr/>
                        <wps:spPr>
                          <a:xfrm rot="-5399999">
                            <a:off x="-2070397" y="1240120"/>
                            <a:ext cx="440642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99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2660" style="width:12.7031pt;height:275.586pt;position:absolute;mso-position-horizontal-relative:page;mso-position-horizontal:absolute;margin-left:682.278pt;mso-position-vertical-relative:page;margin-top:536.334pt;" coordsize="1613,34999">
                <v:rect id="Rectangle 11551"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1552" style="position:absolute;width:44064;height:1132;left:-20703;top:1240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99 de 180 </w:t>
                        </w:r>
                      </w:p>
                    </w:txbxContent>
                  </v:textbox>
                </v:rect>
                <w10:wrap type="square"/>
              </v:group>
            </w:pict>
          </mc:Fallback>
        </mc:AlternateContent>
      </w:r>
      <w:r>
        <w:rPr>
          <w:rFonts w:ascii="Arial" w:eastAsia="Arial" w:hAnsi="Arial" w:cs="Arial"/>
          <w:b/>
        </w:rPr>
        <w:t>A) Art. 32.4-Encargos de los poderes adjudicadores a medios pr</w:t>
      </w:r>
      <w:r>
        <w:rPr>
          <w:rFonts w:ascii="Arial" w:eastAsia="Arial" w:hAnsi="Arial" w:cs="Arial"/>
          <w:b/>
        </w:rPr>
        <w:t xml:space="preserve">opios personificados, que dice: </w:t>
      </w:r>
    </w:p>
    <w:p w:rsidR="00FA7413" w:rsidRDefault="00D712A8">
      <w:pPr>
        <w:spacing w:after="334" w:line="247" w:lineRule="auto"/>
        <w:ind w:left="345" w:right="62" w:firstLine="360"/>
        <w:jc w:val="both"/>
      </w:pPr>
      <w:r>
        <w:rPr>
          <w:rFonts w:ascii="Arial" w:eastAsia="Arial" w:hAnsi="Arial" w:cs="Arial"/>
          <w:b/>
        </w:rPr>
        <w:t>“</w:t>
      </w:r>
      <w:r>
        <w:rPr>
          <w:rFonts w:ascii="Arial" w:eastAsia="Arial" w:hAnsi="Arial" w:cs="Arial"/>
          <w:i/>
        </w:rPr>
        <w:t xml:space="preserve">Tendrán la consideración de medio propio personificado respecto de dos o más poderes adjudicadores que sean independientes entre sí aquellas personas jurídicas, de derecho público o de derecho privado, que cumplan todos y </w:t>
      </w:r>
      <w:r>
        <w:rPr>
          <w:rFonts w:ascii="Arial" w:eastAsia="Arial" w:hAnsi="Arial" w:cs="Arial"/>
          <w:i/>
        </w:rPr>
        <w:t>cada uno de los requisitos que se establecen a continuación:</w:t>
      </w:r>
      <w:r>
        <w:rPr>
          <w:rFonts w:ascii="Times New Roman" w:eastAsia="Times New Roman" w:hAnsi="Times New Roman" w:cs="Times New Roman"/>
          <w:sz w:val="24"/>
        </w:rPr>
        <w:t xml:space="preserve"> </w:t>
      </w:r>
    </w:p>
    <w:p w:rsidR="00FA7413" w:rsidRDefault="00D712A8">
      <w:pPr>
        <w:spacing w:after="11" w:line="247" w:lineRule="auto"/>
        <w:ind w:left="730" w:right="62" w:hanging="10"/>
        <w:jc w:val="both"/>
      </w:pPr>
      <w:r>
        <w:rPr>
          <w:rFonts w:ascii="Arial" w:eastAsia="Arial" w:hAnsi="Arial" w:cs="Arial"/>
          <w:i/>
        </w:rPr>
        <w:t>a) Que los poderes adjudicadores que puedan conferirle encargos ejerzan sobre el ente desti-</w:t>
      </w:r>
    </w:p>
    <w:p w:rsidR="00FA7413" w:rsidRDefault="00D712A8">
      <w:pPr>
        <w:spacing w:after="175" w:line="247" w:lineRule="auto"/>
        <w:ind w:left="355" w:right="62" w:hanging="10"/>
        <w:jc w:val="both"/>
      </w:pPr>
      <w:r>
        <w:rPr>
          <w:rFonts w:ascii="Arial" w:eastAsia="Arial" w:hAnsi="Arial" w:cs="Arial"/>
          <w:i/>
        </w:rPr>
        <w:t>natario del mismo un control conjunto análogo al que ostentarían sobre sus propios servicios o unidad</w:t>
      </w:r>
      <w:r>
        <w:rPr>
          <w:rFonts w:ascii="Arial" w:eastAsia="Arial" w:hAnsi="Arial" w:cs="Arial"/>
          <w:i/>
        </w:rPr>
        <w:t xml:space="preserve">es. </w:t>
      </w:r>
    </w:p>
    <w:p w:rsidR="00FA7413" w:rsidRDefault="00D712A8">
      <w:pPr>
        <w:spacing w:after="347" w:line="249" w:lineRule="auto"/>
        <w:ind w:left="10" w:right="61" w:hanging="10"/>
        <w:jc w:val="right"/>
      </w:pPr>
      <w:r>
        <w:rPr>
          <w:rFonts w:ascii="Arial" w:eastAsia="Arial" w:hAnsi="Arial" w:cs="Arial"/>
          <w:i/>
        </w:rPr>
        <w:t xml:space="preserve">Se entenderá que existe control conjunto cuando se cumplan todas las condiciones siguientes: </w:t>
      </w:r>
    </w:p>
    <w:p w:rsidR="00FA7413" w:rsidRDefault="00D712A8">
      <w:pPr>
        <w:spacing w:after="172" w:line="247" w:lineRule="auto"/>
        <w:ind w:left="345" w:right="62" w:firstLine="360"/>
        <w:jc w:val="both"/>
      </w:pPr>
      <w:r>
        <w:rPr>
          <w:rFonts w:ascii="Arial" w:eastAsia="Arial" w:hAnsi="Arial" w:cs="Arial"/>
          <w:i/>
        </w:rPr>
        <w:t>1.º Que en los órganos decisorios del ente destinatario del encargo estén representados todos los entes que puedan conferirle encargos, pudiendo cada represe</w:t>
      </w:r>
      <w:r>
        <w:rPr>
          <w:rFonts w:ascii="Arial" w:eastAsia="Arial" w:hAnsi="Arial" w:cs="Arial"/>
          <w:i/>
        </w:rPr>
        <w:t xml:space="preserve">ntante representar a varios de estos últimos o a la totalidad de ellos. </w:t>
      </w:r>
    </w:p>
    <w:p w:rsidR="00FA7413" w:rsidRDefault="00D712A8">
      <w:pPr>
        <w:spacing w:after="171" w:line="247" w:lineRule="auto"/>
        <w:ind w:left="345" w:right="62" w:firstLine="360"/>
        <w:jc w:val="both"/>
      </w:pPr>
      <w:r>
        <w:rPr>
          <w:rFonts w:ascii="Arial" w:eastAsia="Arial" w:hAnsi="Arial" w:cs="Arial"/>
          <w:i/>
        </w:rPr>
        <w:t>2.º Que estos últimos puedan ejercer directa y conjuntamente una influencia decisiva sobre los objetivos estratégicos y sobre las decisiones significativas del ente destinatario del e</w:t>
      </w:r>
      <w:r>
        <w:rPr>
          <w:rFonts w:ascii="Arial" w:eastAsia="Arial" w:hAnsi="Arial" w:cs="Arial"/>
          <w:i/>
        </w:rPr>
        <w:t xml:space="preserve">ncargo. </w:t>
      </w:r>
    </w:p>
    <w:p w:rsidR="00FA7413" w:rsidRDefault="00D712A8">
      <w:pPr>
        <w:spacing w:after="355" w:line="247" w:lineRule="auto"/>
        <w:ind w:left="345" w:right="62" w:firstLine="360"/>
        <w:jc w:val="both"/>
      </w:pPr>
      <w:r>
        <w:rPr>
          <w:rFonts w:ascii="Arial" w:eastAsia="Arial" w:hAnsi="Arial" w:cs="Arial"/>
          <w:i/>
        </w:rPr>
        <w:t xml:space="preserve">3.º Que el ente destinatario del encargo no persiga intereses contrarios a los intereses de los entes que puedan conferirle encargos. </w:t>
      </w:r>
    </w:p>
    <w:p w:rsidR="00FA7413" w:rsidRDefault="00D712A8">
      <w:pPr>
        <w:spacing w:after="172" w:line="247" w:lineRule="auto"/>
        <w:ind w:left="345" w:right="62" w:firstLine="360"/>
        <w:jc w:val="both"/>
      </w:pPr>
      <w:r>
        <w:rPr>
          <w:rFonts w:ascii="Arial" w:eastAsia="Arial" w:hAnsi="Arial" w:cs="Arial"/>
          <w:i/>
        </w:rPr>
        <w:t>La compensación se establecerá, por referencia a tarifas aprobadas por la entidad pública de la que depende el medio propio personificado para las actividades objeto de encargo realizadas por el medio propio directamente y, en la forma que reglamentariamen</w:t>
      </w:r>
      <w:r>
        <w:rPr>
          <w:rFonts w:ascii="Arial" w:eastAsia="Arial" w:hAnsi="Arial" w:cs="Arial"/>
          <w:i/>
        </w:rPr>
        <w:t>te se determine, atendiendo al coste efectivo soportado por el medio propio para las actividades objeto del encargo que se subcontraten con empresarios particulares en los casos en que este coste sea inferior al resultante de aplicar las tarifas a las acti</w:t>
      </w:r>
      <w:r>
        <w:rPr>
          <w:rFonts w:ascii="Arial" w:eastAsia="Arial" w:hAnsi="Arial" w:cs="Arial"/>
          <w:i/>
        </w:rPr>
        <w:t xml:space="preserve">vidades subcontratadas. </w:t>
      </w:r>
    </w:p>
    <w:p w:rsidR="00FA7413" w:rsidRDefault="00D712A8">
      <w:pPr>
        <w:spacing w:after="171" w:line="247" w:lineRule="auto"/>
        <w:ind w:left="345" w:right="62" w:firstLine="360"/>
        <w:jc w:val="both"/>
      </w:pPr>
      <w:r>
        <w:rPr>
          <w:rFonts w:ascii="Arial" w:eastAsia="Arial" w:hAnsi="Arial" w:cs="Arial"/>
          <w:i/>
        </w:rPr>
        <w:t xml:space="preserve">Dichas tarifas se calcularán de manera que representen los costes reales de realización de las unidades producidas directamente por el medio propio. </w:t>
      </w:r>
    </w:p>
    <w:p w:rsidR="00FA7413" w:rsidRDefault="00D712A8">
      <w:pPr>
        <w:numPr>
          <w:ilvl w:val="0"/>
          <w:numId w:val="20"/>
        </w:numPr>
        <w:spacing w:after="186" w:line="247" w:lineRule="auto"/>
        <w:ind w:right="62" w:firstLine="360"/>
        <w:jc w:val="both"/>
      </w:pPr>
      <w:r>
        <w:rPr>
          <w:rFonts w:ascii="Arial" w:eastAsia="Arial" w:hAnsi="Arial" w:cs="Arial"/>
          <w:i/>
        </w:rPr>
        <w:t>Que más del 80 por ciento de las actividades del ente destinatario del encargo se</w:t>
      </w:r>
      <w:r>
        <w:rPr>
          <w:rFonts w:ascii="Arial" w:eastAsia="Arial" w:hAnsi="Arial" w:cs="Arial"/>
          <w:i/>
        </w:rPr>
        <w:t xml:space="preserve"> lleven a cabo en el ejercicio de los cometidos que le han sido confiados por los poderes adjudicadores que lo controlan o por otras personas jurídicas controladas por los mismos poderes adjudicadores. El cálculo del 80 por ciento se hará de acuerdo con lo</w:t>
      </w:r>
      <w:r>
        <w:rPr>
          <w:rFonts w:ascii="Arial" w:eastAsia="Arial" w:hAnsi="Arial" w:cs="Arial"/>
          <w:i/>
        </w:rPr>
        <w:t xml:space="preserve"> establecido en la letra b) del apartado 2 de este artículo. </w:t>
      </w:r>
    </w:p>
    <w:p w:rsidR="00FA7413" w:rsidRDefault="00D712A8">
      <w:pPr>
        <w:numPr>
          <w:ilvl w:val="0"/>
          <w:numId w:val="20"/>
        </w:numPr>
        <w:spacing w:after="331" w:line="247" w:lineRule="auto"/>
        <w:ind w:right="62" w:firstLine="360"/>
        <w:jc w:val="both"/>
      </w:pPr>
      <w:r>
        <w:rPr>
          <w:rFonts w:ascii="Arial" w:eastAsia="Arial" w:hAnsi="Arial" w:cs="Arial"/>
          <w:i/>
        </w:rPr>
        <w:t>Que cumplan los requisitos que establece este artículo en su apartado 2 letras c) y d</w:t>
      </w:r>
      <w:r>
        <w:rPr>
          <w:rFonts w:ascii="Arial" w:eastAsia="Arial" w:hAnsi="Arial" w:cs="Arial"/>
        </w:rPr>
        <w:t>).”</w:t>
      </w:r>
      <w:r>
        <w:rPr>
          <w:rFonts w:ascii="Times New Roman" w:eastAsia="Times New Roman" w:hAnsi="Times New Roman" w:cs="Times New Roman"/>
          <w:sz w:val="24"/>
        </w:rPr>
        <w:t xml:space="preserve"> </w:t>
      </w:r>
    </w:p>
    <w:p w:rsidR="00FA7413" w:rsidRDefault="00D712A8">
      <w:pPr>
        <w:spacing w:after="352" w:line="248" w:lineRule="auto"/>
        <w:ind w:left="355" w:right="64" w:hanging="10"/>
        <w:jc w:val="both"/>
      </w:pPr>
      <w:r>
        <w:rPr>
          <w:rFonts w:ascii="Arial" w:eastAsia="Arial" w:hAnsi="Arial" w:cs="Arial"/>
        </w:rPr>
        <w:t>B) Art. 32- Encargos de los poderes adjudicadores a medios propios personificados- apartado 2, letras c)</w:t>
      </w:r>
      <w:r>
        <w:rPr>
          <w:rFonts w:ascii="Arial" w:eastAsia="Arial" w:hAnsi="Arial" w:cs="Arial"/>
        </w:rPr>
        <w:t xml:space="preserve"> y d). </w:t>
      </w:r>
    </w:p>
    <w:p w:rsidR="00FA7413" w:rsidRDefault="00D712A8">
      <w:pPr>
        <w:spacing w:after="152" w:line="249" w:lineRule="auto"/>
        <w:ind w:left="355" w:right="62" w:hanging="10"/>
        <w:jc w:val="both"/>
      </w:pPr>
      <w:r>
        <w:rPr>
          <w:rFonts w:ascii="Arial" w:eastAsia="Arial" w:hAnsi="Arial" w:cs="Arial"/>
          <w:b/>
        </w:rPr>
        <w:t xml:space="preserve"> “</w:t>
      </w:r>
      <w:r>
        <w:rPr>
          <w:rFonts w:ascii="Arial" w:eastAsia="Arial" w:hAnsi="Arial" w:cs="Arial"/>
          <w:b/>
          <w:i/>
        </w:rPr>
        <w:t>2. Tendrán la consideración de medio propio personificado respecto de una única entidad concreta del sector público aquellas personas jurídicas, de derecho público o de derecho privado, que cumplan todos y cada uno de los requisitos que se establ</w:t>
      </w:r>
      <w:r>
        <w:rPr>
          <w:rFonts w:ascii="Arial" w:eastAsia="Arial" w:hAnsi="Arial" w:cs="Arial"/>
          <w:b/>
          <w:i/>
        </w:rPr>
        <w:t>ecen a continuación:</w:t>
      </w:r>
      <w:r>
        <w:rPr>
          <w:color w:val="2E74B5"/>
          <w:sz w:val="24"/>
        </w:rPr>
        <w:t xml:space="preserve"> </w:t>
      </w:r>
    </w:p>
    <w:p w:rsidR="00FA7413" w:rsidRDefault="00D712A8">
      <w:pPr>
        <w:numPr>
          <w:ilvl w:val="0"/>
          <w:numId w:val="21"/>
        </w:numPr>
        <w:spacing w:after="12" w:line="249" w:lineRule="auto"/>
        <w:ind w:right="61" w:firstLine="360"/>
        <w:jc w:val="both"/>
      </w:pPr>
      <w:r>
        <w:rPr>
          <w:rFonts w:ascii="Arial" w:eastAsia="Arial" w:hAnsi="Arial" w:cs="Arial"/>
          <w:i/>
        </w:rPr>
        <w:t xml:space="preserve">Cuando el ente destinatario del encargo sea un ente de personificación jurídico-privada, </w:t>
      </w:r>
    </w:p>
    <w:p w:rsidR="00FA7413" w:rsidRDefault="00D712A8">
      <w:pPr>
        <w:spacing w:after="149" w:line="247" w:lineRule="auto"/>
        <w:ind w:left="355" w:right="62" w:hanging="10"/>
        <w:jc w:val="both"/>
      </w:pPr>
      <w:r>
        <w:rPr>
          <w:noProof/>
        </w:rPr>
        <mc:AlternateContent>
          <mc:Choice Requires="wpg">
            <w:drawing>
              <wp:anchor distT="0" distB="0" distL="114300" distR="114300" simplePos="0" relativeHeight="251761664"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1839" name="Group 211839"/>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1663" name="Rectangle 11663"/>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1664" name="Rectangle 11664"/>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100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1839" style="width:12.7031pt;height:275.586pt;position:absolute;mso-position-horizontal-relative:page;mso-position-horizontal:absolute;margin-left:682.278pt;mso-position-vertical-relative:page;margin-top:536.334pt;" coordsize="1613,34999">
                <v:rect id="Rectangle 11663"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1664"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100 de 180 </w:t>
                        </w:r>
                      </w:p>
                    </w:txbxContent>
                  </v:textbox>
                </v:rect>
                <w10:wrap type="square"/>
              </v:group>
            </w:pict>
          </mc:Fallback>
        </mc:AlternateContent>
      </w:r>
      <w:r>
        <w:rPr>
          <w:rFonts w:ascii="Arial" w:eastAsia="Arial" w:hAnsi="Arial" w:cs="Arial"/>
          <w:i/>
        </w:rPr>
        <w:t>además, la totalidad de su capital o patrimonio tendrá que ser de titularidad o aportación pública.</w:t>
      </w:r>
      <w:r>
        <w:rPr>
          <w:rFonts w:ascii="Times New Roman" w:eastAsia="Times New Roman" w:hAnsi="Times New Roman" w:cs="Times New Roman"/>
          <w:sz w:val="24"/>
        </w:rPr>
        <w:t xml:space="preserve"> </w:t>
      </w:r>
    </w:p>
    <w:p w:rsidR="00FA7413" w:rsidRDefault="00D712A8">
      <w:pPr>
        <w:numPr>
          <w:ilvl w:val="0"/>
          <w:numId w:val="21"/>
        </w:numPr>
        <w:spacing w:after="352" w:line="247" w:lineRule="auto"/>
        <w:ind w:right="61" w:firstLine="360"/>
        <w:jc w:val="both"/>
      </w:pPr>
      <w:r>
        <w:rPr>
          <w:rFonts w:ascii="Arial" w:eastAsia="Arial" w:hAnsi="Arial" w:cs="Arial"/>
          <w:i/>
        </w:rPr>
        <w:t>La condición de medio propio personificado de la entidad destinataria del encargo respecto del concreto poder adjudicador que hace el encargo deberá reconocerse expresamente en sus estatutos o actos de creación, previo cumplimiento de los siguientes requis</w:t>
      </w:r>
      <w:r>
        <w:rPr>
          <w:rFonts w:ascii="Arial" w:eastAsia="Arial" w:hAnsi="Arial" w:cs="Arial"/>
          <w:i/>
        </w:rPr>
        <w:t xml:space="preserve">itos: </w:t>
      </w:r>
    </w:p>
    <w:p w:rsidR="00FA7413" w:rsidRDefault="00D712A8">
      <w:pPr>
        <w:spacing w:after="172" w:line="247" w:lineRule="auto"/>
        <w:ind w:left="345" w:right="62" w:firstLine="360"/>
        <w:jc w:val="both"/>
      </w:pPr>
      <w:r>
        <w:rPr>
          <w:rFonts w:ascii="Arial" w:eastAsia="Arial" w:hAnsi="Arial" w:cs="Arial"/>
          <w:i/>
        </w:rPr>
        <w:t xml:space="preserve">1.º Conformidad o autorización expresa del poder adjudicador respecto del que vaya a ser medio propio. </w:t>
      </w:r>
    </w:p>
    <w:p w:rsidR="00FA7413" w:rsidRDefault="00D712A8">
      <w:pPr>
        <w:spacing w:after="358" w:line="241" w:lineRule="auto"/>
        <w:ind w:left="345" w:firstLine="360"/>
      </w:pPr>
      <w:r>
        <w:rPr>
          <w:rFonts w:ascii="Arial" w:eastAsia="Arial" w:hAnsi="Arial" w:cs="Arial"/>
          <w:i/>
        </w:rPr>
        <w:t>2.º Verificación por la entidad pública de que dependa el ente que vaya a ser medio propio, de que cuenta con medios personales y materiales apro</w:t>
      </w:r>
      <w:r>
        <w:rPr>
          <w:rFonts w:ascii="Arial" w:eastAsia="Arial" w:hAnsi="Arial" w:cs="Arial"/>
          <w:i/>
        </w:rPr>
        <w:t xml:space="preserve">piados para la realización de los encargos de conformidad con su objeto social. </w:t>
      </w:r>
    </w:p>
    <w:p w:rsidR="00FA7413" w:rsidRDefault="00D712A8">
      <w:pPr>
        <w:spacing w:after="174" w:line="247" w:lineRule="auto"/>
        <w:ind w:left="345" w:right="62" w:firstLine="360"/>
        <w:jc w:val="both"/>
      </w:pPr>
      <w:r>
        <w:rPr>
          <w:rFonts w:ascii="Arial" w:eastAsia="Arial" w:hAnsi="Arial" w:cs="Arial"/>
          <w:i/>
        </w:rPr>
        <w:t xml:space="preserve">Los estatutos o acto de creación del ente destinatario del encargo deberá determinar: el poder adjudicador respecto del cual tiene esa condición; precisar el régimen jurídico </w:t>
      </w:r>
      <w:r>
        <w:rPr>
          <w:rFonts w:ascii="Arial" w:eastAsia="Arial" w:hAnsi="Arial" w:cs="Arial"/>
          <w:i/>
        </w:rPr>
        <w:t>y administrativo de los encargos que se les puedan conferir; y establecer la imposibilidad de que participen en licitaciones públicas convocadas por el poder adjudicador del que sean medio propio personificado, sin perjuicio de que, cuando no concurra ning</w:t>
      </w:r>
      <w:r>
        <w:rPr>
          <w:rFonts w:ascii="Arial" w:eastAsia="Arial" w:hAnsi="Arial" w:cs="Arial"/>
          <w:i/>
        </w:rPr>
        <w:t xml:space="preserve">ún licitador, pueda encargárseles la ejecución de la prestación objeto de las mismas. </w:t>
      </w:r>
    </w:p>
    <w:p w:rsidR="00FA7413" w:rsidRDefault="00D712A8">
      <w:pPr>
        <w:spacing w:after="154" w:line="247" w:lineRule="auto"/>
        <w:ind w:left="345" w:right="62" w:firstLine="360"/>
        <w:jc w:val="both"/>
      </w:pPr>
      <w:r>
        <w:rPr>
          <w:rFonts w:ascii="Arial" w:eastAsia="Arial" w:hAnsi="Arial" w:cs="Arial"/>
          <w:i/>
        </w:rPr>
        <w:t>En todo caso, se presumirá que cumple el requisito establecido en el número 2.º de la presente letra cuando haya obtenido la correspondiente clasificación respecto a los</w:t>
      </w:r>
      <w:r>
        <w:rPr>
          <w:rFonts w:ascii="Arial" w:eastAsia="Arial" w:hAnsi="Arial" w:cs="Arial"/>
          <w:i/>
        </w:rPr>
        <w:t xml:space="preserve"> grupos, subgrupos y categorías que ostente.</w:t>
      </w:r>
      <w:r>
        <w:rPr>
          <w:rFonts w:ascii="Arial" w:eastAsia="Arial" w:hAnsi="Arial" w:cs="Arial"/>
        </w:rPr>
        <w:t>”</w:t>
      </w:r>
      <w:r>
        <w:rPr>
          <w:rFonts w:ascii="Times New Roman" w:eastAsia="Times New Roman" w:hAnsi="Times New Roman" w:cs="Times New Roman"/>
          <w:sz w:val="24"/>
        </w:rPr>
        <w:t xml:space="preserve"> </w:t>
      </w:r>
    </w:p>
    <w:p w:rsidR="00FA7413" w:rsidRDefault="00D712A8">
      <w:pPr>
        <w:spacing w:after="0"/>
        <w:ind w:left="720"/>
      </w:pPr>
      <w:r>
        <w:rPr>
          <w:rFonts w:ascii="Arial" w:eastAsia="Arial" w:hAnsi="Arial" w:cs="Arial"/>
        </w:rPr>
        <w:t xml:space="preserve"> </w:t>
      </w:r>
    </w:p>
    <w:p w:rsidR="00FA7413" w:rsidRDefault="00D712A8">
      <w:pPr>
        <w:ind w:left="720"/>
      </w:pPr>
      <w:r>
        <w:rPr>
          <w:rFonts w:ascii="Arial" w:eastAsia="Arial" w:hAnsi="Arial" w:cs="Arial"/>
        </w:rPr>
        <w:t xml:space="preserve"> </w:t>
      </w:r>
    </w:p>
    <w:p w:rsidR="00FA7413" w:rsidRDefault="00D712A8">
      <w:pPr>
        <w:spacing w:after="155"/>
        <w:ind w:left="720"/>
      </w:pPr>
      <w:r>
        <w:rPr>
          <w:rFonts w:ascii="Arial" w:eastAsia="Arial" w:hAnsi="Arial" w:cs="Arial"/>
        </w:rPr>
        <w:t xml:space="preserve"> </w:t>
      </w:r>
    </w:p>
    <w:p w:rsidR="00FA7413" w:rsidRDefault="00D712A8">
      <w:pPr>
        <w:pStyle w:val="Ttulo1"/>
        <w:spacing w:after="158"/>
        <w:ind w:left="1013" w:right="360"/>
      </w:pPr>
      <w:r>
        <w:t xml:space="preserve">TERCERO </w:t>
      </w:r>
    </w:p>
    <w:p w:rsidR="00FA7413" w:rsidRDefault="00D712A8">
      <w:pPr>
        <w:ind w:left="706"/>
        <w:jc w:val="center"/>
      </w:pPr>
      <w:r>
        <w:rPr>
          <w:rFonts w:ascii="Arial" w:eastAsia="Arial" w:hAnsi="Arial" w:cs="Arial"/>
          <w:b/>
        </w:rPr>
        <w:t xml:space="preserve"> </w:t>
      </w:r>
    </w:p>
    <w:p w:rsidR="00FA7413" w:rsidRDefault="00D712A8">
      <w:pPr>
        <w:pBdr>
          <w:bottom w:val="single" w:sz="6" w:space="0" w:color="CCCCCC"/>
        </w:pBdr>
        <w:shd w:val="clear" w:color="auto" w:fill="F9F9F9"/>
        <w:tabs>
          <w:tab w:val="center" w:pos="4755"/>
        </w:tabs>
        <w:spacing w:after="231" w:line="216" w:lineRule="auto"/>
        <w:ind w:left="345" w:right="56"/>
        <w:jc w:val="both"/>
      </w:pPr>
      <w:r>
        <w:rPr>
          <w:rFonts w:ascii="Arial" w:eastAsia="Arial" w:hAnsi="Arial" w:cs="Arial"/>
          <w:b/>
        </w:rPr>
        <w:t xml:space="preserve"> </w:t>
      </w:r>
      <w:r>
        <w:rPr>
          <w:rFonts w:ascii="Arial" w:eastAsia="Arial" w:hAnsi="Arial" w:cs="Arial"/>
          <w:b/>
        </w:rPr>
        <w:tab/>
        <w:t xml:space="preserve"> Ley 7/1985, de 2 de abril, Reguladora de las Bases del Régimen Local. </w:t>
      </w:r>
      <w:r>
        <w:rPr>
          <w:sz w:val="26"/>
        </w:rPr>
        <w:t xml:space="preserve"> </w:t>
      </w:r>
    </w:p>
    <w:p w:rsidR="00FA7413" w:rsidRDefault="00D712A8">
      <w:pPr>
        <w:spacing w:after="0"/>
        <w:ind w:left="1068"/>
      </w:pPr>
      <w:r>
        <w:rPr>
          <w:rFonts w:ascii="Arial" w:eastAsia="Arial" w:hAnsi="Arial" w:cs="Arial"/>
        </w:rPr>
        <w:t xml:space="preserve"> </w:t>
      </w:r>
    </w:p>
    <w:p w:rsidR="00FA7413" w:rsidRDefault="00D712A8">
      <w:pPr>
        <w:spacing w:after="351" w:line="248" w:lineRule="auto"/>
        <w:ind w:left="345" w:right="64" w:firstLine="708"/>
        <w:jc w:val="both"/>
      </w:pPr>
      <w:r>
        <w:rPr>
          <w:rFonts w:ascii="Arial" w:eastAsia="Arial" w:hAnsi="Arial" w:cs="Arial"/>
        </w:rPr>
        <w:t xml:space="preserve">Son de aplicación los dos artículos siguientes en cuanto a la competencia del órgano municipal para la aprobación del presente expediente.     </w:t>
      </w:r>
    </w:p>
    <w:p w:rsidR="00FA7413" w:rsidRDefault="00D712A8">
      <w:pPr>
        <w:spacing w:after="171" w:line="248" w:lineRule="auto"/>
        <w:ind w:left="355" w:right="62" w:hanging="10"/>
        <w:jc w:val="both"/>
      </w:pPr>
      <w:r>
        <w:rPr>
          <w:rFonts w:ascii="Arial" w:eastAsia="Arial" w:hAnsi="Arial" w:cs="Arial"/>
          <w:b/>
        </w:rPr>
        <w:t xml:space="preserve">Artículo 47.2.H) </w:t>
      </w:r>
    </w:p>
    <w:p w:rsidR="00FA7413" w:rsidRDefault="00D712A8">
      <w:pPr>
        <w:spacing w:after="335" w:line="249" w:lineRule="auto"/>
        <w:ind w:left="345" w:right="62" w:firstLine="360"/>
        <w:jc w:val="both"/>
      </w:pPr>
      <w:r>
        <w:rPr>
          <w:rFonts w:ascii="Arial" w:eastAsia="Arial" w:hAnsi="Arial" w:cs="Arial"/>
        </w:rPr>
        <w:t>“</w:t>
      </w:r>
      <w:r>
        <w:rPr>
          <w:rFonts w:ascii="Arial" w:eastAsia="Arial" w:hAnsi="Arial" w:cs="Arial"/>
          <w:b/>
          <w:i/>
        </w:rPr>
        <w:t>h) Transferencia de funciones o actividades a otras Administraciones públicas, así como la ac</w:t>
      </w:r>
      <w:r>
        <w:rPr>
          <w:rFonts w:ascii="Arial" w:eastAsia="Arial" w:hAnsi="Arial" w:cs="Arial"/>
          <w:b/>
          <w:i/>
        </w:rPr>
        <w:t>eptación de las delegaciones o encomiendas de gestión realizadas por otras administraciones, salvo que por ley se impongan obligatoriamente</w:t>
      </w:r>
      <w:r>
        <w:rPr>
          <w:rFonts w:ascii="Arial" w:eastAsia="Arial" w:hAnsi="Arial" w:cs="Arial"/>
          <w:b/>
        </w:rPr>
        <w:t>.</w:t>
      </w:r>
      <w:r>
        <w:rPr>
          <w:rFonts w:ascii="Times New Roman" w:eastAsia="Times New Roman" w:hAnsi="Times New Roman" w:cs="Times New Roman"/>
          <w:sz w:val="24"/>
        </w:rPr>
        <w:t xml:space="preserve"> </w:t>
      </w:r>
    </w:p>
    <w:p w:rsidR="00FA7413" w:rsidRDefault="00D712A8">
      <w:pPr>
        <w:spacing w:after="172" w:line="248" w:lineRule="auto"/>
        <w:ind w:left="355" w:right="64" w:hanging="10"/>
        <w:jc w:val="both"/>
      </w:pPr>
      <w:r>
        <w:rPr>
          <w:rFonts w:ascii="Arial" w:eastAsia="Arial" w:hAnsi="Arial" w:cs="Arial"/>
        </w:rPr>
        <w:t xml:space="preserve">Artículo 22.2 p) y 4. </w:t>
      </w:r>
    </w:p>
    <w:p w:rsidR="00FA7413" w:rsidRDefault="00D712A8">
      <w:pPr>
        <w:spacing w:after="158" w:line="247" w:lineRule="auto"/>
        <w:ind w:left="345" w:right="62" w:firstLine="360"/>
        <w:jc w:val="both"/>
      </w:pPr>
      <w:r>
        <w:rPr>
          <w:rFonts w:ascii="Arial" w:eastAsia="Arial" w:hAnsi="Arial" w:cs="Arial"/>
        </w:rPr>
        <w:t>“</w:t>
      </w:r>
      <w:r>
        <w:rPr>
          <w:rFonts w:ascii="Arial" w:eastAsia="Arial" w:hAnsi="Arial" w:cs="Arial"/>
          <w:i/>
        </w:rPr>
        <w:t>2. Corresponden, en todo caso, al Pleno municipal en los Ayuntamientos, y a la Asamblea vecinal en el régimen de Concejo Abierto, las siguientes atribuciones:</w:t>
      </w:r>
      <w:r>
        <w:rPr>
          <w:rFonts w:ascii="Times New Roman" w:eastAsia="Times New Roman" w:hAnsi="Times New Roman" w:cs="Times New Roman"/>
          <w:sz w:val="24"/>
        </w:rPr>
        <w:t xml:space="preserve"> </w:t>
      </w:r>
    </w:p>
    <w:p w:rsidR="00FA7413" w:rsidRDefault="00D712A8">
      <w:pPr>
        <w:spacing w:after="0"/>
        <w:ind w:left="10" w:right="59" w:hanging="10"/>
        <w:jc w:val="right"/>
      </w:pPr>
      <w:r>
        <w:rPr>
          <w:noProof/>
        </w:rPr>
        <mc:AlternateContent>
          <mc:Choice Requires="wpg">
            <w:drawing>
              <wp:anchor distT="0" distB="0" distL="114300" distR="114300" simplePos="0" relativeHeight="251762688"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1904" name="Group 211904"/>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1764" name="Rectangle 11764"/>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Cód. Validación: 946JAL4TJAGYNDDM76ZM7ZAYZ | Verificación: https://candelaria.sedelectronica.</w:t>
                              </w:r>
                              <w:r>
                                <w:rPr>
                                  <w:rFonts w:ascii="Arial" w:eastAsia="Arial" w:hAnsi="Arial" w:cs="Arial"/>
                                  <w:sz w:val="12"/>
                                </w:rPr>
                                <w:t xml:space="preserve">es/ </w:t>
                              </w:r>
                            </w:p>
                          </w:txbxContent>
                        </wps:txbx>
                        <wps:bodyPr horzOverflow="overflow" vert="horz" lIns="0" tIns="0" rIns="0" bIns="0" rtlCol="0">
                          <a:noAutofit/>
                        </wps:bodyPr>
                      </wps:wsp>
                      <wps:wsp>
                        <wps:cNvPr id="11765" name="Rectangle 11765"/>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101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1904" style="width:12.7031pt;height:275.586pt;position:absolute;mso-position-horizontal-relative:page;mso-position-horizontal:absolute;margin-left:682.278pt;mso-position-vertical-relative:page;margin-top:536.334pt;" coordsize="1613,34999">
                <v:rect id="Rectangle 11764"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1765"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101 de 180 </w:t>
                        </w:r>
                      </w:p>
                    </w:txbxContent>
                  </v:textbox>
                </v:rect>
                <w10:wrap type="square"/>
              </v:group>
            </w:pict>
          </mc:Fallback>
        </mc:AlternateContent>
      </w:r>
      <w:r>
        <w:rPr>
          <w:rFonts w:ascii="Arial" w:eastAsia="Arial" w:hAnsi="Arial" w:cs="Arial"/>
          <w:b/>
          <w:i/>
        </w:rPr>
        <w:t xml:space="preserve">p) Aquellas otras que deban corresponder al Pleno por exigir su aprobación una mayoría </w:t>
      </w:r>
    </w:p>
    <w:p w:rsidR="00FA7413" w:rsidRDefault="00D712A8">
      <w:pPr>
        <w:spacing w:after="168" w:line="249" w:lineRule="auto"/>
        <w:ind w:left="355" w:right="62" w:hanging="10"/>
        <w:jc w:val="both"/>
      </w:pPr>
      <w:r>
        <w:rPr>
          <w:rFonts w:ascii="Arial" w:eastAsia="Arial" w:hAnsi="Arial" w:cs="Arial"/>
          <w:b/>
          <w:i/>
        </w:rPr>
        <w:t xml:space="preserve">especial. </w:t>
      </w:r>
    </w:p>
    <w:p w:rsidR="00FA7413" w:rsidRDefault="00D712A8">
      <w:pPr>
        <w:spacing w:after="154" w:line="247" w:lineRule="auto"/>
        <w:ind w:left="345" w:right="62" w:firstLine="360"/>
        <w:jc w:val="both"/>
      </w:pPr>
      <w:r>
        <w:rPr>
          <w:rFonts w:ascii="Arial" w:eastAsia="Arial" w:hAnsi="Arial" w:cs="Arial"/>
          <w:i/>
        </w:rPr>
        <w:t>4. El Pleno puede delegar el ejercicio de sus atribucio</w:t>
      </w:r>
      <w:r>
        <w:rPr>
          <w:rFonts w:ascii="Arial" w:eastAsia="Arial" w:hAnsi="Arial" w:cs="Arial"/>
          <w:i/>
        </w:rPr>
        <w:t>nes en el Alcalde y en la Junta de Gobierno Local, salvo las enunciadas en el apartado 2, párrafos a), b), c), d), e), f), g), h), i), l) y p), y en el apartado 3 de este artículo.</w:t>
      </w:r>
      <w:r>
        <w:rPr>
          <w:rFonts w:ascii="Arial" w:eastAsia="Arial" w:hAnsi="Arial" w:cs="Arial"/>
        </w:rPr>
        <w:t>”</w:t>
      </w:r>
      <w:r>
        <w:rPr>
          <w:rFonts w:ascii="Times New Roman" w:eastAsia="Times New Roman" w:hAnsi="Times New Roman" w:cs="Times New Roman"/>
          <w:sz w:val="24"/>
        </w:rPr>
        <w:t xml:space="preserve"> </w:t>
      </w:r>
    </w:p>
    <w:p w:rsidR="00FA7413" w:rsidRDefault="00D712A8">
      <w:pPr>
        <w:spacing w:after="100"/>
        <w:ind w:left="360"/>
      </w:pPr>
      <w:r>
        <w:rPr>
          <w:rFonts w:ascii="Arial" w:eastAsia="Arial" w:hAnsi="Arial" w:cs="Arial"/>
          <w:b/>
        </w:rPr>
        <w:t xml:space="preserve"> </w:t>
      </w:r>
    </w:p>
    <w:p w:rsidR="00FA7413" w:rsidRDefault="00D712A8">
      <w:pPr>
        <w:spacing w:after="98"/>
        <w:ind w:left="1426"/>
      </w:pPr>
      <w:r>
        <w:rPr>
          <w:rFonts w:ascii="Arial" w:eastAsia="Arial" w:hAnsi="Arial" w:cs="Arial"/>
        </w:rPr>
        <w:t xml:space="preserve">   </w:t>
      </w:r>
    </w:p>
    <w:p w:rsidR="00FA7413" w:rsidRDefault="00D712A8">
      <w:pPr>
        <w:spacing w:after="109" w:line="248" w:lineRule="auto"/>
        <w:ind w:left="345" w:right="64" w:firstLine="708"/>
        <w:jc w:val="both"/>
      </w:pPr>
      <w:r>
        <w:rPr>
          <w:rFonts w:ascii="Arial" w:eastAsia="Arial" w:hAnsi="Arial" w:cs="Arial"/>
        </w:rPr>
        <w:t>En base a los antecedentes de hecho y fundamentos de Derecho expues</w:t>
      </w:r>
      <w:r>
        <w:rPr>
          <w:rFonts w:ascii="Arial" w:eastAsia="Arial" w:hAnsi="Arial" w:cs="Arial"/>
        </w:rPr>
        <w:t xml:space="preserve">tos, se emite la siguiente, </w:t>
      </w:r>
    </w:p>
    <w:p w:rsidR="00FA7413" w:rsidRDefault="00D712A8">
      <w:pPr>
        <w:spacing w:after="100"/>
        <w:ind w:left="1056"/>
        <w:jc w:val="center"/>
      </w:pPr>
      <w:r>
        <w:rPr>
          <w:rFonts w:ascii="Arial" w:eastAsia="Arial" w:hAnsi="Arial" w:cs="Arial"/>
          <w:b/>
        </w:rPr>
        <w:t xml:space="preserve"> </w:t>
      </w:r>
    </w:p>
    <w:p w:rsidR="00FA7413" w:rsidRDefault="00D712A8">
      <w:pPr>
        <w:spacing w:after="98"/>
        <w:ind w:left="1056"/>
        <w:jc w:val="center"/>
      </w:pPr>
      <w:r>
        <w:rPr>
          <w:rFonts w:ascii="Arial" w:eastAsia="Arial" w:hAnsi="Arial" w:cs="Arial"/>
          <w:b/>
        </w:rPr>
        <w:t xml:space="preserve"> </w:t>
      </w:r>
    </w:p>
    <w:p w:rsidR="00FA7413" w:rsidRDefault="00D712A8">
      <w:pPr>
        <w:spacing w:after="101"/>
        <w:ind w:left="1013" w:right="7" w:hanging="10"/>
        <w:jc w:val="center"/>
      </w:pPr>
      <w:r>
        <w:rPr>
          <w:rFonts w:ascii="Arial" w:eastAsia="Arial" w:hAnsi="Arial" w:cs="Arial"/>
          <w:b/>
        </w:rPr>
        <w:t xml:space="preserve">PROPUESTA DE RESOLUCIÓN: </w:t>
      </w:r>
    </w:p>
    <w:p w:rsidR="00FA7413" w:rsidRDefault="00D712A8">
      <w:pPr>
        <w:spacing w:after="95"/>
        <w:ind w:left="1056"/>
        <w:jc w:val="center"/>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 xml:space="preserve">  </w:t>
      </w:r>
      <w:r>
        <w:rPr>
          <w:rFonts w:ascii="Arial" w:eastAsia="Arial" w:hAnsi="Arial" w:cs="Arial"/>
          <w:b/>
        </w:rPr>
        <w:t>1º</w:t>
      </w:r>
      <w:r>
        <w:rPr>
          <w:rFonts w:ascii="Arial" w:eastAsia="Arial" w:hAnsi="Arial" w:cs="Arial"/>
        </w:rPr>
        <w:t xml:space="preserve">.- </w:t>
      </w:r>
      <w:r>
        <w:rPr>
          <w:rFonts w:ascii="Arial" w:eastAsia="Arial" w:hAnsi="Arial" w:cs="Arial"/>
        </w:rPr>
        <w:t>Otorgar la conformidad expresa de esta Corporación a la declaración de la entidad “Gestión y Planeamiento Territorial y Medioambiental, SA (GESPLAN), adscrita a la Consejería de Transición Ecológica, Lucha contra el Cambio Climático y Planificación Territo</w:t>
      </w:r>
      <w:r>
        <w:rPr>
          <w:rFonts w:ascii="Arial" w:eastAsia="Arial" w:hAnsi="Arial" w:cs="Arial"/>
        </w:rPr>
        <w:t xml:space="preserve">rial del Gobierno de Canarias, como medio personificado del mismo, a los efectos dispuestos en el artículo 32.2 de la Ley 4/2012, de 25 de junio, de medidas administrativas y fiscales, en relación con el art. 32.4 de la LCSP.      </w:t>
      </w:r>
      <w:r>
        <w:rPr>
          <w:rFonts w:ascii="Times New Roman" w:eastAsia="Times New Roman" w:hAnsi="Times New Roman" w:cs="Times New Roman"/>
          <w:sz w:val="24"/>
        </w:rPr>
        <w:t xml:space="preserve"> </w: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spacing w:after="0" w:line="248" w:lineRule="auto"/>
        <w:ind w:left="345" w:right="64" w:firstLine="708"/>
        <w:jc w:val="both"/>
      </w:pPr>
      <w:r>
        <w:rPr>
          <w:rFonts w:ascii="Arial" w:eastAsia="Arial" w:hAnsi="Arial" w:cs="Arial"/>
          <w:b/>
        </w:rPr>
        <w:t xml:space="preserve">2º.- </w:t>
      </w:r>
      <w:r>
        <w:rPr>
          <w:rFonts w:ascii="Arial" w:eastAsia="Arial" w:hAnsi="Arial" w:cs="Arial"/>
        </w:rPr>
        <w:t>Solicitar formal</w:t>
      </w:r>
      <w:r>
        <w:rPr>
          <w:rFonts w:ascii="Arial" w:eastAsia="Arial" w:hAnsi="Arial" w:cs="Arial"/>
        </w:rPr>
        <w:t>mente de la  Consejería de Transición Ecológica, Lucha contra el Cambio Climático y Planificación Territorial  del Gobierno de Canarias, a la que se encuentra adscrita la entidad “GESPLAN,SA ”, que inicie el procedimiento de modificación estatutaria para q</w:t>
      </w:r>
      <w:r>
        <w:rPr>
          <w:rFonts w:ascii="Arial" w:eastAsia="Arial" w:hAnsi="Arial" w:cs="Arial"/>
        </w:rPr>
        <w:t>ue la segunda pueda ser declarada medio propio personificado y destinataria, por tanto de los encargos que este Ayuntamiento le pueda conferir, en los estrictos términos regulados en el acuerdo adoptado por el Gobierno de Canarias, en sesión de fecha 26 de</w:t>
      </w:r>
      <w:r>
        <w:rPr>
          <w:rFonts w:ascii="Arial" w:eastAsia="Arial" w:hAnsi="Arial" w:cs="Arial"/>
        </w:rPr>
        <w:t xml:space="preserve"> marzo de 2018, y en coherencia con la regulación establecida en el art. 32.4 de la LCSP.</w:t>
      </w:r>
      <w:r>
        <w:rPr>
          <w:rFonts w:ascii="Times New Roman" w:eastAsia="Times New Roman" w:hAnsi="Times New Roman" w:cs="Times New Roman"/>
          <w:sz w:val="24"/>
        </w:rPr>
        <w:t xml:space="preserve"> </w:t>
      </w:r>
    </w:p>
    <w:p w:rsidR="00FA7413" w:rsidRDefault="00D712A8">
      <w:pPr>
        <w:spacing w:after="0"/>
        <w:ind w:left="1068"/>
      </w:pPr>
      <w:r>
        <w:rPr>
          <w:rFonts w:ascii="Arial" w:eastAsia="Arial" w:hAnsi="Arial" w:cs="Arial"/>
        </w:rPr>
        <w:t xml:space="preserve"> </w:t>
      </w:r>
    </w:p>
    <w:p w:rsidR="00FA7413" w:rsidRDefault="00D712A8">
      <w:pPr>
        <w:spacing w:after="0" w:line="248" w:lineRule="auto"/>
        <w:ind w:left="345" w:right="64" w:firstLine="708"/>
        <w:jc w:val="both"/>
      </w:pPr>
      <w:r>
        <w:rPr>
          <w:rFonts w:ascii="Arial" w:eastAsia="Arial" w:hAnsi="Arial" w:cs="Arial"/>
          <w:b/>
        </w:rPr>
        <w:t xml:space="preserve">3º.- </w:t>
      </w:r>
      <w:r>
        <w:rPr>
          <w:rFonts w:ascii="Arial" w:eastAsia="Arial" w:hAnsi="Arial" w:cs="Arial"/>
        </w:rPr>
        <w:t>Solicitar formalmente de la Consejería de Transición Ecológica, Lucha contra el Cambio Climático y Planificación Territorial  del Gobierno de Canarias, a la q</w:t>
      </w:r>
      <w:r>
        <w:rPr>
          <w:rFonts w:ascii="Arial" w:eastAsia="Arial" w:hAnsi="Arial" w:cs="Arial"/>
        </w:rPr>
        <w:t>ue se encuentra adscrita la entidad “GESPLAN,SA”, que se tenga por designada como vocal único en el Consejo de Administración de la misma, como representante de la totalidad de los municipios, a la representante designada por la Federación Canaria de Munic</w:t>
      </w:r>
      <w:r>
        <w:rPr>
          <w:rFonts w:ascii="Arial" w:eastAsia="Arial" w:hAnsi="Arial" w:cs="Arial"/>
        </w:rPr>
        <w:t>ipios, Dña. María Concepción Brito Núñez, Alcaldes-Presidenta del Ayuntamiento de Candelaria, o en su caso, a la persona que lo sustituya, según acuerdo adoptado por la FECAM. o en su caso, a la persona que lo sustituya, según acuerdo adoptado por la FECAM</w:t>
      </w:r>
      <w:r>
        <w:rPr>
          <w:rFonts w:ascii="Arial" w:eastAsia="Arial" w:hAnsi="Arial" w:cs="Arial"/>
        </w:rPr>
        <w:t>..</w:t>
      </w:r>
      <w:r>
        <w:rPr>
          <w:rFonts w:ascii="Times New Roman" w:eastAsia="Times New Roman" w:hAnsi="Times New Roman" w:cs="Times New Roman"/>
          <w:sz w:val="24"/>
        </w:rPr>
        <w:t xml:space="preserve"> </w:t>
      </w:r>
    </w:p>
    <w:p w:rsidR="00FA7413" w:rsidRDefault="00D712A8">
      <w:pPr>
        <w:spacing w:after="0"/>
        <w:ind w:left="1068"/>
      </w:pPr>
      <w:r>
        <w:rPr>
          <w:rFonts w:ascii="Arial" w:eastAsia="Arial" w:hAnsi="Arial" w:cs="Arial"/>
        </w:rPr>
        <w:t xml:space="preserve"> </w:t>
      </w:r>
    </w:p>
    <w:p w:rsidR="00FA7413" w:rsidRDefault="00D712A8">
      <w:pPr>
        <w:spacing w:after="0" w:line="248" w:lineRule="auto"/>
        <w:ind w:left="345" w:right="64" w:firstLine="708"/>
        <w:jc w:val="both"/>
      </w:pPr>
      <w:r>
        <w:rPr>
          <w:rFonts w:ascii="Arial" w:eastAsia="Arial" w:hAnsi="Arial" w:cs="Arial"/>
          <w:b/>
        </w:rPr>
        <w:t xml:space="preserve">4º.- </w:t>
      </w:r>
      <w:r>
        <w:rPr>
          <w:rFonts w:ascii="Arial" w:eastAsia="Arial" w:hAnsi="Arial" w:cs="Arial"/>
        </w:rPr>
        <w:t xml:space="preserve"> Facultar a la Alcaldesa para la firma de los documentos necesarios de declaración de la entidad “GESPLAN,SA”, adscrita a la Consejería de Transición Ecológica, Lucha contra el Cambio Climático y Planificación Territorial  del Gobierno de Canari</w:t>
      </w:r>
      <w:r>
        <w:rPr>
          <w:rFonts w:ascii="Arial" w:eastAsia="Arial" w:hAnsi="Arial" w:cs="Arial"/>
        </w:rPr>
        <w:t>as, como medio propio personificado del mismo.</w:t>
      </w:r>
      <w:r>
        <w:rPr>
          <w:rFonts w:ascii="Times New Roman" w:eastAsia="Times New Roman" w:hAnsi="Times New Roman" w:cs="Times New Roman"/>
          <w:sz w:val="24"/>
        </w:rPr>
        <w:t xml:space="preserve"> </w:t>
      </w:r>
    </w:p>
    <w:p w:rsidR="00FA7413" w:rsidRDefault="00D712A8">
      <w:pPr>
        <w:spacing w:after="0"/>
        <w:ind w:left="1068"/>
      </w:pPr>
      <w:r>
        <w:rPr>
          <w:rFonts w:ascii="Arial" w:eastAsia="Arial" w:hAnsi="Arial" w:cs="Arial"/>
        </w:rPr>
        <w:t xml:space="preserve"> </w:t>
      </w:r>
    </w:p>
    <w:p w:rsidR="00FA7413" w:rsidRDefault="00D712A8">
      <w:pPr>
        <w:spacing w:after="2" w:line="248" w:lineRule="auto"/>
        <w:ind w:left="345" w:right="64" w:firstLine="708"/>
        <w:jc w:val="both"/>
      </w:pPr>
      <w:r>
        <w:rPr>
          <w:noProof/>
        </w:rPr>
        <mc:AlternateContent>
          <mc:Choice Requires="wpg">
            <w:drawing>
              <wp:anchor distT="0" distB="0" distL="114300" distR="114300" simplePos="0" relativeHeight="251763712"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2834" name="Group 212834"/>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1892" name="Rectangle 11892"/>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1893" name="Rectangle 11893"/>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102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2834" style="width:12.7031pt;height:275.586pt;position:absolute;mso-position-horizontal-relative:page;mso-position-horizontal:absolute;margin-left:682.278pt;mso-position-vertical-relative:page;margin-top:536.334pt;" coordsize="1613,34999">
                <v:rect id="Rectangle 11892"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1893"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102 de 180 </w:t>
                        </w:r>
                      </w:p>
                    </w:txbxContent>
                  </v:textbox>
                </v:rect>
                <w10:wrap type="square"/>
              </v:group>
            </w:pict>
          </mc:Fallback>
        </mc:AlternateContent>
      </w:r>
      <w:r>
        <w:rPr>
          <w:rFonts w:ascii="Arial" w:eastAsia="Arial" w:hAnsi="Arial" w:cs="Arial"/>
          <w:b/>
        </w:rPr>
        <w:t xml:space="preserve">5º.- </w:t>
      </w:r>
      <w:r>
        <w:rPr>
          <w:rFonts w:ascii="Arial" w:eastAsia="Arial" w:hAnsi="Arial" w:cs="Arial"/>
        </w:rPr>
        <w:t>Dar traslado del presente acuerdo a la Consejería de Transición Ecológica, Lucha contra el Cambio Climático y Planificación Territorial del Gobierno de Canarias, a la FECAM y a la entidad GESPLAN, SA, a los efectos oportunos. “</w:t>
      </w:r>
      <w:r>
        <w:rPr>
          <w:rFonts w:ascii="Arial" w:eastAsia="Arial" w:hAnsi="Arial" w:cs="Arial"/>
          <w:b/>
        </w:rPr>
        <w:t xml:space="preserve"> </w:t>
      </w:r>
      <w:r>
        <w:rPr>
          <w:rFonts w:ascii="Arial" w:eastAsia="Arial" w:hAnsi="Arial" w:cs="Arial"/>
        </w:rPr>
        <w:t xml:space="preserve">   </w:t>
      </w:r>
      <w:r>
        <w:rPr>
          <w:rFonts w:ascii="Times New Roman" w:eastAsia="Times New Roman" w:hAnsi="Times New Roman" w:cs="Times New Roman"/>
          <w:sz w:val="24"/>
        </w:rPr>
        <w:t xml:space="preserve"> </w:t>
      </w:r>
    </w:p>
    <w:p w:rsidR="00FA7413" w:rsidRDefault="00D712A8">
      <w:pPr>
        <w:spacing w:after="103"/>
        <w:ind w:left="360"/>
      </w:pPr>
      <w:r>
        <w:rPr>
          <w:rFonts w:ascii="Arial" w:eastAsia="Arial" w:hAnsi="Arial" w:cs="Arial"/>
          <w:b/>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 xml:space="preserve">    Consta en el </w:t>
      </w:r>
      <w:r>
        <w:rPr>
          <w:rFonts w:ascii="Arial" w:eastAsia="Arial" w:hAnsi="Arial" w:cs="Arial"/>
          <w:b/>
        </w:rPr>
        <w:t xml:space="preserve">expediente propuesta de la Alcaldesa-Presidenta, de fecha 14 de junio de 2021, cuyo tenor literal es el siguiente: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109" w:line="248" w:lineRule="auto"/>
        <w:ind w:left="355" w:right="64" w:hanging="10"/>
        <w:jc w:val="both"/>
      </w:pPr>
      <w:r>
        <w:rPr>
          <w:rFonts w:ascii="Arial" w:eastAsia="Arial" w:hAnsi="Arial" w:cs="Arial"/>
        </w:rPr>
        <w:t xml:space="preserve">     “La que suscribe, Alcaldesa-Presidenta del Ayuntamiento de la Villa de Candelaria, al amparo de lo dispuesto en el Reglamento de Or</w:t>
      </w:r>
      <w:r>
        <w:rPr>
          <w:rFonts w:ascii="Arial" w:eastAsia="Arial" w:hAnsi="Arial" w:cs="Arial"/>
        </w:rPr>
        <w:t xml:space="preserve">ganización, Funcionamiento y Régimen Jurídico de las Entidades Locales, así como en la Ley 7/1985, de 2 de abril, Reguladora de las Bases de Régimen Local, tienen el honor de someter a la consideración del Ayuntamiento Pleno la siguiente propuesta: </w:t>
      </w:r>
    </w:p>
    <w:p w:rsidR="00FA7413" w:rsidRDefault="00D712A8">
      <w:pPr>
        <w:spacing w:after="9" w:line="249" w:lineRule="auto"/>
        <w:ind w:left="10" w:right="63" w:hanging="10"/>
        <w:jc w:val="right"/>
      </w:pPr>
      <w:r>
        <w:rPr>
          <w:rFonts w:ascii="Arial" w:eastAsia="Arial" w:hAnsi="Arial" w:cs="Arial"/>
        </w:rPr>
        <w:t xml:space="preserve">Visto </w:t>
      </w:r>
      <w:r>
        <w:rPr>
          <w:rFonts w:ascii="Arial" w:eastAsia="Arial" w:hAnsi="Arial" w:cs="Arial"/>
        </w:rPr>
        <w:t xml:space="preserve">el informe jurídico de la Técnico de la Administración General que transcrito </w:t>
      </w:r>
    </w:p>
    <w:p w:rsidR="00FA7413" w:rsidRDefault="00D712A8">
      <w:pPr>
        <w:spacing w:after="109" w:line="248" w:lineRule="auto"/>
        <w:ind w:left="355" w:right="64" w:hanging="10"/>
        <w:jc w:val="both"/>
      </w:pPr>
      <w:r>
        <w:rPr>
          <w:rFonts w:ascii="Arial" w:eastAsia="Arial" w:hAnsi="Arial" w:cs="Arial"/>
        </w:rPr>
        <w:t xml:space="preserve">lilteralmente dice:  </w:t>
      </w:r>
    </w:p>
    <w:p w:rsidR="00FA7413" w:rsidRDefault="00D712A8">
      <w:pPr>
        <w:spacing w:after="112" w:line="247" w:lineRule="auto"/>
        <w:ind w:left="355" w:right="62" w:hanging="10"/>
        <w:jc w:val="both"/>
      </w:pPr>
      <w:r>
        <w:rPr>
          <w:rFonts w:ascii="Arial" w:eastAsia="Arial" w:hAnsi="Arial" w:cs="Arial"/>
          <w:i/>
        </w:rPr>
        <w:t>“Visto el expediente antedicho, la funcionaria Mª del Pilar Chico Delgado, que ocupa el puesto de trabajo de técnico de adm.gral., conformado por el Secret</w:t>
      </w:r>
      <w:r>
        <w:rPr>
          <w:rFonts w:ascii="Arial" w:eastAsia="Arial" w:hAnsi="Arial" w:cs="Arial"/>
          <w:i/>
        </w:rPr>
        <w:t xml:space="preserve">ario General, debidamente fiscalizado favorablemente por el Interventor Municipal, emite el siguiente informe: Antecedentes de hecho </w:t>
      </w:r>
    </w:p>
    <w:p w:rsidR="00FA7413" w:rsidRDefault="00D712A8">
      <w:pPr>
        <w:spacing w:after="112" w:line="247" w:lineRule="auto"/>
        <w:ind w:left="355" w:right="62" w:hanging="10"/>
        <w:jc w:val="both"/>
      </w:pPr>
      <w:r>
        <w:rPr>
          <w:rFonts w:ascii="Arial" w:eastAsia="Arial" w:hAnsi="Arial" w:cs="Arial"/>
          <w:i/>
        </w:rPr>
        <w:t>Visto el escrito recibido con registro de entrada 03 de mayo de 2018 y nº 9933, presentado por la entidad “GESPLAN”, en el</w:t>
      </w:r>
      <w:r>
        <w:rPr>
          <w:rFonts w:ascii="Arial" w:eastAsia="Arial" w:hAnsi="Arial" w:cs="Arial"/>
          <w:i/>
        </w:rPr>
        <w:t xml:space="preserve"> que solicitan: </w:t>
      </w:r>
    </w:p>
    <w:p w:rsidR="00FA7413" w:rsidRDefault="00D712A8">
      <w:pPr>
        <w:spacing w:after="112" w:line="247" w:lineRule="auto"/>
        <w:ind w:left="355" w:right="62" w:hanging="10"/>
        <w:jc w:val="both"/>
      </w:pPr>
      <w:r>
        <w:rPr>
          <w:rFonts w:ascii="Arial" w:eastAsia="Arial" w:hAnsi="Arial" w:cs="Arial"/>
          <w:i/>
        </w:rPr>
        <w:t xml:space="preserve"> “1.- Que procedan a acordar por el órgano competente para ello, de conformidad con lo establecido en el acuerdo segundo del documento adjunto, siendo necesario que para que esta sociedad </w:t>
      </w:r>
      <w:r>
        <w:rPr>
          <w:rFonts w:ascii="Arial" w:eastAsia="Arial" w:hAnsi="Arial" w:cs="Arial"/>
          <w:i/>
        </w:rPr>
        <w:t xml:space="preserve">mercantil pública pueda ser declarada medo propio personificado de las entidades locales, éstas lo soliciten con carácter previo. </w:t>
      </w:r>
    </w:p>
    <w:p w:rsidR="00FA7413" w:rsidRDefault="00D712A8">
      <w:pPr>
        <w:spacing w:after="112" w:line="247" w:lineRule="auto"/>
        <w:ind w:left="355" w:right="62" w:hanging="10"/>
        <w:jc w:val="both"/>
      </w:pPr>
      <w:r>
        <w:rPr>
          <w:rFonts w:ascii="Arial" w:eastAsia="Arial" w:hAnsi="Arial" w:cs="Arial"/>
          <w:i/>
        </w:rPr>
        <w:t xml:space="preserve"> 2.- Que, de conformidad con lo establecido en el acuerdo primero, apartado b), punto cuatro del documento adjunto, que estab</w:t>
      </w:r>
      <w:r>
        <w:rPr>
          <w:rFonts w:ascii="Arial" w:eastAsia="Arial" w:hAnsi="Arial" w:cs="Arial"/>
          <w:i/>
        </w:rPr>
        <w:t>lece que la totalidad de los Ayuntamientos de los que Gesplan vaya a ser medio propio personificado, han de designar un representante que previo, los trámites correspondientes, formará parte del Consejo de Administración de esta sociedad mercantil pública.</w:t>
      </w:r>
      <w:r>
        <w:rPr>
          <w:rFonts w:ascii="Arial" w:eastAsia="Arial" w:hAnsi="Arial" w:cs="Arial"/>
          <w:i/>
        </w:rPr>
        <w:t xml:space="preserve"> </w:t>
      </w:r>
    </w:p>
    <w:p w:rsidR="00FA7413" w:rsidRDefault="00D712A8">
      <w:pPr>
        <w:spacing w:after="112" w:line="247" w:lineRule="auto"/>
        <w:ind w:left="355" w:right="62" w:hanging="10"/>
        <w:jc w:val="both"/>
      </w:pPr>
      <w:r>
        <w:rPr>
          <w:rFonts w:ascii="Arial" w:eastAsia="Arial" w:hAnsi="Arial" w:cs="Arial"/>
          <w:i/>
        </w:rPr>
        <w:t xml:space="preserve"> 3.- </w:t>
      </w:r>
      <w:r>
        <w:rPr>
          <w:rFonts w:ascii="Arial" w:eastAsia="Arial" w:hAnsi="Arial" w:cs="Arial"/>
          <w:i/>
        </w:rPr>
        <w:t xml:space="preserve">Que esta sociedad mercantil pública el 11 de abril de 2018 remitió escrito, en estos mismos términos, a la Presidenta de la Federación Canaria de Municipios (FECAM), teniendo entrada en la citada Federación el mismo día, del que se adjunta copia.”        </w:t>
      </w:r>
    </w:p>
    <w:p w:rsidR="00FA7413" w:rsidRDefault="00D712A8">
      <w:pPr>
        <w:spacing w:after="98"/>
        <w:ind w:left="360"/>
      </w:pPr>
      <w:r>
        <w:rPr>
          <w:rFonts w:ascii="Arial" w:eastAsia="Arial" w:hAnsi="Arial" w:cs="Arial"/>
          <w:i/>
        </w:rPr>
        <w:t xml:space="preserve"> </w:t>
      </w:r>
    </w:p>
    <w:p w:rsidR="00FA7413" w:rsidRDefault="00D712A8">
      <w:pPr>
        <w:spacing w:after="112" w:line="247" w:lineRule="auto"/>
        <w:ind w:left="355" w:right="62" w:hanging="10"/>
        <w:jc w:val="both"/>
      </w:pPr>
      <w:r>
        <w:rPr>
          <w:rFonts w:ascii="Arial" w:eastAsia="Arial" w:hAnsi="Arial" w:cs="Arial"/>
          <w:i/>
        </w:rPr>
        <w:t xml:space="preserve">  Al escrito se adjunta Acuerdo del Gobierno de Canarias de 26 de marzo de 2018, por el que se fijan las condiciones que deberán cumplir las entidades del sector público autonómico con presupuesto estimativo para ser consideradas medio propio personifica</w:t>
      </w:r>
      <w:r>
        <w:rPr>
          <w:rFonts w:ascii="Arial" w:eastAsia="Arial" w:hAnsi="Arial" w:cs="Arial"/>
          <w:i/>
        </w:rPr>
        <w:t xml:space="preserve">do y destinatarias de encargos en virtud de lo previsto en el art. 32.2 de la Ley 4/2012, de 25 de junio, de medidas administrativas y fiscales (Consejería de Hacienda).     </w:t>
      </w:r>
    </w:p>
    <w:p w:rsidR="00FA7413" w:rsidRDefault="00D712A8">
      <w:pPr>
        <w:tabs>
          <w:tab w:val="center" w:pos="360"/>
          <w:tab w:val="center" w:pos="2892"/>
        </w:tabs>
        <w:spacing w:after="112" w:line="247" w:lineRule="auto"/>
      </w:pPr>
      <w:r>
        <w:tab/>
      </w:r>
      <w:r>
        <w:rPr>
          <w:rFonts w:ascii="Arial" w:eastAsia="Arial" w:hAnsi="Arial" w:cs="Arial"/>
          <w:i/>
        </w:rPr>
        <w:t xml:space="preserve"> </w:t>
      </w:r>
      <w:r>
        <w:rPr>
          <w:rFonts w:ascii="Arial" w:eastAsia="Arial" w:hAnsi="Arial" w:cs="Arial"/>
          <w:i/>
        </w:rPr>
        <w:tab/>
        <w:t xml:space="preserve">Estas condiciones son las siguientes: </w:t>
      </w:r>
    </w:p>
    <w:p w:rsidR="00FA7413" w:rsidRDefault="00D712A8">
      <w:pPr>
        <w:numPr>
          <w:ilvl w:val="0"/>
          <w:numId w:val="22"/>
        </w:numPr>
        <w:spacing w:after="165" w:line="247" w:lineRule="auto"/>
        <w:ind w:right="62" w:hanging="360"/>
        <w:jc w:val="both"/>
      </w:pPr>
      <w:r>
        <w:rPr>
          <w:rFonts w:ascii="Arial" w:eastAsia="Arial" w:hAnsi="Arial" w:cs="Arial"/>
          <w:i/>
        </w:rPr>
        <w:t>La totalidad del capital social o patri</w:t>
      </w:r>
      <w:r>
        <w:rPr>
          <w:rFonts w:ascii="Arial" w:eastAsia="Arial" w:hAnsi="Arial" w:cs="Arial"/>
          <w:i/>
        </w:rPr>
        <w:t xml:space="preserve">monio de los entes con personalidad jurídica privada con la cualificación de medio propio de la Administración Pública de la Comunidad Autónoma de Canarias ha ser de titularidad o aportación pública. </w:t>
      </w:r>
    </w:p>
    <w:p w:rsidR="00FA7413" w:rsidRDefault="00D712A8">
      <w:pPr>
        <w:spacing w:after="0"/>
        <w:ind w:left="360"/>
      </w:pPr>
      <w:r>
        <w:rPr>
          <w:rFonts w:ascii="Arial" w:eastAsia="Arial" w:hAnsi="Arial" w:cs="Arial"/>
          <w:i/>
        </w:rPr>
        <w:t xml:space="preserve"> </w:t>
      </w:r>
    </w:p>
    <w:p w:rsidR="00FA7413" w:rsidRDefault="00D712A8">
      <w:pPr>
        <w:numPr>
          <w:ilvl w:val="0"/>
          <w:numId w:val="22"/>
        </w:numPr>
        <w:spacing w:after="165" w:line="247" w:lineRule="auto"/>
        <w:ind w:right="62" w:hanging="360"/>
        <w:jc w:val="both"/>
      </w:pPr>
      <w:r>
        <w:rPr>
          <w:noProof/>
        </w:rPr>
        <mc:AlternateContent>
          <mc:Choice Requires="wpg">
            <w:drawing>
              <wp:anchor distT="0" distB="0" distL="114300" distR="114300" simplePos="0" relativeHeight="251764736"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2835" name="Group 212835"/>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2019" name="Rectangle 12019"/>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Cód. Validación: 946JAL4TJAGYNDDM76ZM7ZAYZ | Verif</w:t>
                              </w:r>
                              <w:r>
                                <w:rPr>
                                  <w:rFonts w:ascii="Arial" w:eastAsia="Arial" w:hAnsi="Arial" w:cs="Arial"/>
                                  <w:sz w:val="12"/>
                                </w:rPr>
                                <w:t xml:space="preserve">icación: https://candelaria.sedelectronica.es/ </w:t>
                              </w:r>
                            </w:p>
                          </w:txbxContent>
                        </wps:txbx>
                        <wps:bodyPr horzOverflow="overflow" vert="horz" lIns="0" tIns="0" rIns="0" bIns="0" rtlCol="0">
                          <a:noAutofit/>
                        </wps:bodyPr>
                      </wps:wsp>
                      <wps:wsp>
                        <wps:cNvPr id="12020" name="Rectangle 12020"/>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103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2835" style="width:12.7031pt;height:275.586pt;position:absolute;mso-position-horizontal-relative:page;mso-position-horizontal:absolute;margin-left:682.278pt;mso-position-vertical-relative:page;margin-top:536.334pt;" coordsize="1613,34999">
                <v:rect id="Rectangle 12019"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2020"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103 de 180 </w:t>
                        </w:r>
                      </w:p>
                    </w:txbxContent>
                  </v:textbox>
                </v:rect>
                <w10:wrap type="square"/>
              </v:group>
            </w:pict>
          </mc:Fallback>
        </mc:AlternateContent>
      </w:r>
      <w:r>
        <w:rPr>
          <w:rFonts w:ascii="Arial" w:eastAsia="Arial" w:hAnsi="Arial" w:cs="Arial"/>
          <w:i/>
        </w:rPr>
        <w:t>Se deberá tramitar un procedimiento de modificación estatutaria de aquellas entidades del sector público autonó</w:t>
      </w:r>
      <w:r>
        <w:rPr>
          <w:rFonts w:ascii="Arial" w:eastAsia="Arial" w:hAnsi="Arial" w:cs="Arial"/>
          <w:i/>
        </w:rPr>
        <w:t xml:space="preserve">mico con presupuesto estimativo que vayan a ser declaradas medio propio personificado de las entidades canarias para: </w:t>
      </w:r>
    </w:p>
    <w:p w:rsidR="00FA7413" w:rsidRDefault="00D712A8">
      <w:pPr>
        <w:spacing w:after="0"/>
        <w:ind w:left="1080"/>
      </w:pPr>
      <w:r>
        <w:rPr>
          <w:rFonts w:ascii="Arial" w:eastAsia="Arial" w:hAnsi="Arial" w:cs="Arial"/>
          <w:i/>
        </w:rPr>
        <w:t xml:space="preserve"> </w:t>
      </w:r>
    </w:p>
    <w:p w:rsidR="00FA7413" w:rsidRDefault="00D712A8">
      <w:pPr>
        <w:numPr>
          <w:ilvl w:val="1"/>
          <w:numId w:val="22"/>
        </w:numPr>
        <w:spacing w:after="0" w:line="247" w:lineRule="auto"/>
        <w:ind w:right="62" w:hanging="355"/>
        <w:jc w:val="both"/>
      </w:pPr>
      <w:r>
        <w:rPr>
          <w:rFonts w:ascii="Arial" w:eastAsia="Arial" w:hAnsi="Arial" w:cs="Arial"/>
          <w:i/>
        </w:rPr>
        <w:t>La inclusión del reconocimiento expreso de la condición de medio propio personificado de la sociedad respecto a todos los poderes adjud</w:t>
      </w:r>
      <w:r>
        <w:rPr>
          <w:rFonts w:ascii="Arial" w:eastAsia="Arial" w:hAnsi="Arial" w:cs="Arial"/>
          <w:i/>
        </w:rPr>
        <w:t xml:space="preserve">icadores que así lo establezcan. </w:t>
      </w:r>
    </w:p>
    <w:p w:rsidR="00FA7413" w:rsidRDefault="00D712A8">
      <w:pPr>
        <w:spacing w:after="0"/>
        <w:ind w:left="1073"/>
      </w:pPr>
      <w:r>
        <w:rPr>
          <w:rFonts w:ascii="Arial" w:eastAsia="Arial" w:hAnsi="Arial" w:cs="Arial"/>
          <w:i/>
        </w:rPr>
        <w:t xml:space="preserve"> </w:t>
      </w:r>
    </w:p>
    <w:p w:rsidR="00FA7413" w:rsidRDefault="00D712A8">
      <w:pPr>
        <w:numPr>
          <w:ilvl w:val="1"/>
          <w:numId w:val="22"/>
        </w:numPr>
        <w:spacing w:after="3" w:line="241" w:lineRule="auto"/>
        <w:ind w:right="62" w:hanging="355"/>
        <w:jc w:val="both"/>
      </w:pPr>
      <w:r>
        <w:rPr>
          <w:rFonts w:ascii="Arial" w:eastAsia="Arial" w:hAnsi="Arial" w:cs="Arial"/>
          <w:i/>
        </w:rPr>
        <w:t xml:space="preserve">La previsión de que el medio propio personificado dispone de los medios suficientes e idóneos para realizar las prestaciones en el sector de la actividad que se corresponda con su objeto social de acuerdo con su norma o acuerdo de creación. </w:t>
      </w:r>
    </w:p>
    <w:p w:rsidR="00FA7413" w:rsidRDefault="00D712A8">
      <w:pPr>
        <w:spacing w:after="0"/>
        <w:ind w:left="360"/>
      </w:pPr>
      <w:r>
        <w:rPr>
          <w:rFonts w:ascii="Arial" w:eastAsia="Arial" w:hAnsi="Arial" w:cs="Arial"/>
          <w:i/>
        </w:rPr>
        <w:t xml:space="preserve"> </w:t>
      </w:r>
    </w:p>
    <w:p w:rsidR="00FA7413" w:rsidRDefault="00D712A8">
      <w:pPr>
        <w:numPr>
          <w:ilvl w:val="1"/>
          <w:numId w:val="22"/>
        </w:numPr>
        <w:spacing w:after="0" w:line="247" w:lineRule="auto"/>
        <w:ind w:right="62" w:hanging="355"/>
        <w:jc w:val="both"/>
      </w:pPr>
      <w:r>
        <w:rPr>
          <w:rFonts w:ascii="Arial" w:eastAsia="Arial" w:hAnsi="Arial" w:cs="Arial"/>
          <w:i/>
        </w:rPr>
        <w:t>La inclusión</w:t>
      </w:r>
      <w:r>
        <w:rPr>
          <w:rFonts w:ascii="Arial" w:eastAsia="Arial" w:hAnsi="Arial" w:cs="Arial"/>
          <w:i/>
        </w:rPr>
        <w:t xml:space="preserve"> del reconocimiento expreso de que la comunicación encargando una actuación, efectuada por cualquiera de los poderes adjudicadores (Comunidad Autónoma, Cabildos Insulares y Ayuntamientos) supondrá su ejecución obligatoria, debiéndose adoptar todas las medi</w:t>
      </w:r>
      <w:r>
        <w:rPr>
          <w:rFonts w:ascii="Arial" w:eastAsia="Arial" w:hAnsi="Arial" w:cs="Arial"/>
          <w:i/>
        </w:rPr>
        <w:t xml:space="preserve">das necesarias por las partes para garantizar el cumplimiento del principio de sostenibilidad financiera. </w:t>
      </w:r>
    </w:p>
    <w:p w:rsidR="00FA7413" w:rsidRDefault="00D712A8">
      <w:pPr>
        <w:spacing w:after="0"/>
        <w:ind w:left="360"/>
      </w:pPr>
      <w:r>
        <w:rPr>
          <w:rFonts w:ascii="Arial" w:eastAsia="Arial" w:hAnsi="Arial" w:cs="Arial"/>
          <w:i/>
        </w:rPr>
        <w:t xml:space="preserve"> </w:t>
      </w:r>
    </w:p>
    <w:p w:rsidR="00FA7413" w:rsidRDefault="00D712A8">
      <w:pPr>
        <w:numPr>
          <w:ilvl w:val="1"/>
          <w:numId w:val="22"/>
        </w:numPr>
        <w:spacing w:after="0" w:line="247" w:lineRule="auto"/>
        <w:ind w:right="62" w:hanging="355"/>
        <w:jc w:val="both"/>
      </w:pPr>
      <w:r>
        <w:rPr>
          <w:rFonts w:ascii="Arial" w:eastAsia="Arial" w:hAnsi="Arial" w:cs="Arial"/>
          <w:i/>
        </w:rPr>
        <w:t>La modificación de la composición del consejo de administración para incrementar en dos miembros el número de vocales, que serían designados por la</w:t>
      </w:r>
      <w:r>
        <w:rPr>
          <w:rFonts w:ascii="Arial" w:eastAsia="Arial" w:hAnsi="Arial" w:cs="Arial"/>
          <w:i/>
        </w:rPr>
        <w:t xml:space="preserve">s Corporaciones Locales canarias y representarían, uno de ellos, a la totalidad de los Cabildos Insulares y, otro, a la totalidad de los Ayuntamiento que le consideraran medio propio personificado. </w:t>
      </w:r>
    </w:p>
    <w:p w:rsidR="00FA7413" w:rsidRDefault="00D712A8">
      <w:pPr>
        <w:spacing w:after="0"/>
        <w:ind w:left="1080"/>
      </w:pPr>
      <w:r>
        <w:rPr>
          <w:rFonts w:ascii="Arial" w:eastAsia="Arial" w:hAnsi="Arial" w:cs="Arial"/>
          <w:i/>
        </w:rPr>
        <w:t xml:space="preserve"> </w:t>
      </w:r>
    </w:p>
    <w:p w:rsidR="00FA7413" w:rsidRDefault="00D712A8">
      <w:pPr>
        <w:numPr>
          <w:ilvl w:val="1"/>
          <w:numId w:val="22"/>
        </w:numPr>
        <w:spacing w:after="0" w:line="247" w:lineRule="auto"/>
        <w:ind w:right="62" w:hanging="355"/>
        <w:jc w:val="both"/>
      </w:pPr>
      <w:r>
        <w:rPr>
          <w:rFonts w:ascii="Arial" w:eastAsia="Arial" w:hAnsi="Arial" w:cs="Arial"/>
          <w:i/>
        </w:rPr>
        <w:t xml:space="preserve">La previsión de un procedimiento acorde a la normativa </w:t>
      </w:r>
      <w:r>
        <w:rPr>
          <w:rFonts w:ascii="Arial" w:eastAsia="Arial" w:hAnsi="Arial" w:cs="Arial"/>
          <w:i/>
        </w:rPr>
        <w:t xml:space="preserve">de sociedades de capital que sirva para la resolución de conflictos de intereses que eventualmente pudieran surgir entre los poderes adjudicadores que ejercen influencia decisiva sobre los objetivos de la sociedad o entre estos y la propia sociedad. </w:t>
      </w:r>
    </w:p>
    <w:p w:rsidR="00FA7413" w:rsidRDefault="00D712A8">
      <w:pPr>
        <w:spacing w:after="0"/>
        <w:ind w:left="1080"/>
      </w:pPr>
      <w:r>
        <w:rPr>
          <w:rFonts w:ascii="Arial" w:eastAsia="Arial" w:hAnsi="Arial" w:cs="Arial"/>
          <w:i/>
        </w:rPr>
        <w:t xml:space="preserve"> </w:t>
      </w:r>
    </w:p>
    <w:p w:rsidR="00FA7413" w:rsidRDefault="00D712A8">
      <w:pPr>
        <w:numPr>
          <w:ilvl w:val="1"/>
          <w:numId w:val="22"/>
        </w:numPr>
        <w:spacing w:after="0" w:line="247" w:lineRule="auto"/>
        <w:ind w:right="62" w:hanging="355"/>
        <w:jc w:val="both"/>
      </w:pPr>
      <w:r>
        <w:rPr>
          <w:rFonts w:ascii="Arial" w:eastAsia="Arial" w:hAnsi="Arial" w:cs="Arial"/>
          <w:i/>
        </w:rPr>
        <w:t xml:space="preserve">La </w:t>
      </w:r>
      <w:r>
        <w:rPr>
          <w:rFonts w:ascii="Arial" w:eastAsia="Arial" w:hAnsi="Arial" w:cs="Arial"/>
          <w:i/>
        </w:rPr>
        <w:t>previsión de que el Consejo de Administración de las entidades del sector públicos autonómico con presupuesto estimativo que vayan a ser declaradas medio propio personificado de las entidades locales en que así se constituya, pueda crear un comité de repre</w:t>
      </w:r>
      <w:r>
        <w:rPr>
          <w:rFonts w:ascii="Arial" w:eastAsia="Arial" w:hAnsi="Arial" w:cs="Arial"/>
          <w:i/>
        </w:rPr>
        <w:t>sentación paritaria de todos los poderes adjudicadores que le hayan declarado medio propio personificado, encargado de definir los objetivos y estrategias de la entidad, acordes con los objetivos y estrategias de cada uno de los encomendantes, así como efe</w:t>
      </w:r>
      <w:r>
        <w:rPr>
          <w:rFonts w:ascii="Arial" w:eastAsia="Arial" w:hAnsi="Arial" w:cs="Arial"/>
          <w:i/>
        </w:rPr>
        <w:t>ctuar un control reforzado de las actuaciones concretas a realizar por la entidad para atender los encargos que le realicen los diferentes poderes adjudicadores. Dicho órgano establecerá qué actuaciones se considerarán prioritarias atendiendo a las polític</w:t>
      </w:r>
      <w:r>
        <w:rPr>
          <w:rFonts w:ascii="Arial" w:eastAsia="Arial" w:hAnsi="Arial" w:cs="Arial"/>
          <w:i/>
        </w:rPr>
        <w:t xml:space="preserve">as en las que se encuadra cada encargo.  </w:t>
      </w:r>
    </w:p>
    <w:p w:rsidR="00FA7413" w:rsidRDefault="00D712A8">
      <w:pPr>
        <w:spacing w:after="0"/>
        <w:ind w:left="1080"/>
      </w:pPr>
      <w:r>
        <w:rPr>
          <w:rFonts w:ascii="Arial" w:eastAsia="Arial" w:hAnsi="Arial" w:cs="Arial"/>
          <w:i/>
        </w:rPr>
        <w:t xml:space="preserve"> </w:t>
      </w:r>
    </w:p>
    <w:p w:rsidR="00FA7413" w:rsidRDefault="00D712A8">
      <w:pPr>
        <w:numPr>
          <w:ilvl w:val="1"/>
          <w:numId w:val="22"/>
        </w:numPr>
        <w:spacing w:after="0" w:line="247" w:lineRule="auto"/>
        <w:ind w:right="62" w:hanging="355"/>
        <w:jc w:val="both"/>
      </w:pPr>
      <w:r>
        <w:rPr>
          <w:rFonts w:ascii="Arial" w:eastAsia="Arial" w:hAnsi="Arial" w:cs="Arial"/>
          <w:i/>
        </w:rPr>
        <w:t xml:space="preserve">La inclusión de la prohibición del medio propio personificado de realizar actuaciones contrarias a los fines e intereses públicos de los poderes adjudicadores que hacen los encargos. </w:t>
      </w:r>
    </w:p>
    <w:p w:rsidR="00FA7413" w:rsidRDefault="00D712A8">
      <w:pPr>
        <w:spacing w:after="0"/>
        <w:ind w:left="1080"/>
      </w:pPr>
      <w:r>
        <w:rPr>
          <w:rFonts w:ascii="Arial" w:eastAsia="Arial" w:hAnsi="Arial" w:cs="Arial"/>
          <w:i/>
        </w:rPr>
        <w:t xml:space="preserve"> </w:t>
      </w:r>
    </w:p>
    <w:p w:rsidR="00FA7413" w:rsidRDefault="00D712A8">
      <w:pPr>
        <w:numPr>
          <w:ilvl w:val="1"/>
          <w:numId w:val="22"/>
        </w:numPr>
        <w:spacing w:after="0" w:line="247" w:lineRule="auto"/>
        <w:ind w:right="62" w:hanging="355"/>
        <w:jc w:val="both"/>
      </w:pPr>
      <w:r>
        <w:rPr>
          <w:rFonts w:ascii="Arial" w:eastAsia="Arial" w:hAnsi="Arial" w:cs="Arial"/>
          <w:i/>
        </w:rPr>
        <w:t>La inclusión de un apartad</w:t>
      </w:r>
      <w:r>
        <w:rPr>
          <w:rFonts w:ascii="Arial" w:eastAsia="Arial" w:hAnsi="Arial" w:cs="Arial"/>
          <w:i/>
        </w:rPr>
        <w:t xml:space="preserve">o referido a que las tarifas o presupuestos de los encargos que realicen los poderes adjudicadores que le hay n declarado medio propio personificado deben ser aprobados por la entidad pública de la que dependa el medio propio personificado, respondiendo a </w:t>
      </w:r>
      <w:r>
        <w:rPr>
          <w:rFonts w:ascii="Arial" w:eastAsia="Arial" w:hAnsi="Arial" w:cs="Arial"/>
          <w:i/>
        </w:rPr>
        <w:t xml:space="preserve">los costes y gastos reales en que incurra el medio propio personificado para la ejecución del encargo. </w:t>
      </w:r>
    </w:p>
    <w:p w:rsidR="00FA7413" w:rsidRDefault="00D712A8">
      <w:pPr>
        <w:spacing w:after="0"/>
        <w:ind w:left="1073"/>
      </w:pPr>
      <w:r>
        <w:rPr>
          <w:rFonts w:ascii="Arial" w:eastAsia="Arial" w:hAnsi="Arial" w:cs="Arial"/>
          <w:i/>
        </w:rPr>
        <w:t xml:space="preserve"> </w:t>
      </w:r>
    </w:p>
    <w:p w:rsidR="00FA7413" w:rsidRDefault="00D712A8">
      <w:pPr>
        <w:numPr>
          <w:ilvl w:val="1"/>
          <w:numId w:val="22"/>
        </w:numPr>
        <w:spacing w:after="0" w:line="247" w:lineRule="auto"/>
        <w:ind w:right="62" w:hanging="355"/>
        <w:jc w:val="both"/>
      </w:pPr>
      <w:r>
        <w:rPr>
          <w:noProof/>
        </w:rPr>
        <mc:AlternateContent>
          <mc:Choice Requires="wpg">
            <w:drawing>
              <wp:anchor distT="0" distB="0" distL="114300" distR="114300" simplePos="0" relativeHeight="251765760"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4065" name="Group 214065"/>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2125" name="Rectangle 12125"/>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2126" name="Rectangle 12126"/>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104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4065" style="width:12.7031pt;height:275.586pt;position:absolute;mso-position-horizontal-relative:page;mso-position-horizontal:absolute;margin-left:682.278pt;mso-position-vertical-relative:page;margin-top:536.334pt;" coordsize="1613,34999">
                <v:rect id="Rectangle 12125"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2126"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104 de 180 </w:t>
                        </w:r>
                      </w:p>
                    </w:txbxContent>
                  </v:textbox>
                </v:rect>
                <w10:wrap type="square"/>
              </v:group>
            </w:pict>
          </mc:Fallback>
        </mc:AlternateContent>
      </w:r>
      <w:r>
        <w:rPr>
          <w:rFonts w:ascii="Arial" w:eastAsia="Arial" w:hAnsi="Arial" w:cs="Arial"/>
          <w:i/>
        </w:rPr>
        <w:t>La inclusión de la previsión de que en la memoria integrante de las cuentas anuales del medio propio personificado se incluya un apartado relativo a la justifica</w:t>
      </w:r>
      <w:r>
        <w:rPr>
          <w:rFonts w:ascii="Arial" w:eastAsia="Arial" w:hAnsi="Arial" w:cs="Arial"/>
          <w:i/>
        </w:rPr>
        <w:t xml:space="preserve">ción del cumplimiento del requisito de que la parte esencial de la actividad del medio propio personificado se realice con los entes que la controlan; hecho que deberá ser objeto de verificación por el auditor en la auditoría de cuentas anuales. </w:t>
      </w:r>
    </w:p>
    <w:p w:rsidR="00FA7413" w:rsidRDefault="00D712A8">
      <w:pPr>
        <w:spacing w:after="0"/>
        <w:ind w:left="1080"/>
      </w:pPr>
      <w:r>
        <w:rPr>
          <w:rFonts w:ascii="Arial" w:eastAsia="Arial" w:hAnsi="Arial" w:cs="Arial"/>
          <w:i/>
        </w:rPr>
        <w:t xml:space="preserve"> </w:t>
      </w:r>
    </w:p>
    <w:p w:rsidR="00FA7413" w:rsidRDefault="00D712A8">
      <w:pPr>
        <w:spacing w:after="0" w:line="247" w:lineRule="auto"/>
        <w:ind w:left="1083" w:right="62" w:hanging="10"/>
        <w:jc w:val="both"/>
      </w:pPr>
      <w:r>
        <w:rPr>
          <w:rFonts w:ascii="Arial" w:eastAsia="Arial" w:hAnsi="Arial" w:cs="Arial"/>
          <w:i/>
        </w:rPr>
        <w:t>Dicha p</w:t>
      </w:r>
      <w:r>
        <w:rPr>
          <w:rFonts w:ascii="Arial" w:eastAsia="Arial" w:hAnsi="Arial" w:cs="Arial"/>
          <w:i/>
        </w:rPr>
        <w:t xml:space="preserve">arte esencial será, en todo caso, más del 80% de las actividades del ente destinatario del encargo. </w:t>
      </w:r>
    </w:p>
    <w:p w:rsidR="00FA7413" w:rsidRDefault="00D712A8">
      <w:pPr>
        <w:spacing w:after="0"/>
        <w:ind w:left="1080"/>
      </w:pPr>
      <w:r>
        <w:rPr>
          <w:rFonts w:ascii="Arial" w:eastAsia="Arial" w:hAnsi="Arial" w:cs="Arial"/>
          <w:i/>
        </w:rPr>
        <w:t xml:space="preserve"> </w:t>
      </w:r>
    </w:p>
    <w:p w:rsidR="00FA7413" w:rsidRDefault="00D712A8">
      <w:pPr>
        <w:numPr>
          <w:ilvl w:val="1"/>
          <w:numId w:val="22"/>
        </w:numPr>
        <w:spacing w:after="0" w:line="247" w:lineRule="auto"/>
        <w:ind w:right="62" w:hanging="355"/>
        <w:jc w:val="both"/>
      </w:pPr>
      <w:r>
        <w:rPr>
          <w:rFonts w:ascii="Arial" w:eastAsia="Arial" w:hAnsi="Arial" w:cs="Arial"/>
          <w:i/>
        </w:rPr>
        <w:t>La determinación del régimen jurídico y administrativo de aplicación a los encargos que se les puedan conferir, precisando que los mismo tienen naturalez</w:t>
      </w:r>
      <w:r>
        <w:rPr>
          <w:rFonts w:ascii="Arial" w:eastAsia="Arial" w:hAnsi="Arial" w:cs="Arial"/>
          <w:i/>
        </w:rPr>
        <w:t xml:space="preserve">a administrativa y se regirán por la normativa en vigor reguladora de los encargos a medios propios personificados, quedando excluidos del régimen jurídico de aplicación a los contratos administrativos. </w:t>
      </w:r>
    </w:p>
    <w:p w:rsidR="00FA7413" w:rsidRDefault="00D712A8">
      <w:pPr>
        <w:spacing w:after="0"/>
        <w:ind w:left="1073"/>
      </w:pPr>
      <w:r>
        <w:rPr>
          <w:rFonts w:ascii="Arial" w:eastAsia="Arial" w:hAnsi="Arial" w:cs="Arial"/>
          <w:i/>
        </w:rPr>
        <w:t xml:space="preserve"> </w:t>
      </w:r>
    </w:p>
    <w:p w:rsidR="00FA7413" w:rsidRDefault="00D712A8">
      <w:pPr>
        <w:numPr>
          <w:ilvl w:val="1"/>
          <w:numId w:val="22"/>
        </w:numPr>
        <w:spacing w:after="4" w:line="247" w:lineRule="auto"/>
        <w:ind w:right="62" w:hanging="355"/>
        <w:jc w:val="both"/>
      </w:pPr>
      <w:r>
        <w:rPr>
          <w:rFonts w:ascii="Arial" w:eastAsia="Arial" w:hAnsi="Arial" w:cs="Arial"/>
          <w:i/>
        </w:rPr>
        <w:t>La inclusión de la imposibilidad de que participen</w:t>
      </w:r>
      <w:r>
        <w:rPr>
          <w:rFonts w:ascii="Arial" w:eastAsia="Arial" w:hAnsi="Arial" w:cs="Arial"/>
          <w:i/>
        </w:rPr>
        <w:t xml:space="preserve"> en licitaciones públicas convocadas por el poder adjudicador del que sean medio propio personificado, sin perjuicio de que, cuando no concurra ningún licitador, pueda encargárseles la ejecución de la prestación objeto de la misma.” </w:t>
      </w:r>
    </w:p>
    <w:p w:rsidR="00FA7413" w:rsidRDefault="00D712A8">
      <w:pPr>
        <w:spacing w:after="0"/>
        <w:ind w:left="1080"/>
      </w:pPr>
      <w:r>
        <w:rPr>
          <w:rFonts w:ascii="Arial" w:eastAsia="Arial" w:hAnsi="Arial" w:cs="Arial"/>
          <w:i/>
        </w:rPr>
        <w:t xml:space="preserve"> </w:t>
      </w:r>
    </w:p>
    <w:p w:rsidR="00FA7413" w:rsidRDefault="00D712A8">
      <w:pPr>
        <w:spacing w:after="0"/>
        <w:ind w:left="1080"/>
      </w:pPr>
      <w:r>
        <w:rPr>
          <w:rFonts w:ascii="Arial" w:eastAsia="Arial" w:hAnsi="Arial" w:cs="Arial"/>
          <w:i/>
        </w:rPr>
        <w:t xml:space="preserve"> </w:t>
      </w:r>
    </w:p>
    <w:p w:rsidR="00FA7413" w:rsidRDefault="00D712A8">
      <w:pPr>
        <w:spacing w:after="0" w:line="247" w:lineRule="auto"/>
        <w:ind w:left="1090" w:right="62" w:hanging="10"/>
        <w:jc w:val="both"/>
      </w:pPr>
      <w:r>
        <w:rPr>
          <w:rFonts w:ascii="Arial" w:eastAsia="Arial" w:hAnsi="Arial" w:cs="Arial"/>
          <w:i/>
        </w:rPr>
        <w:t>Visto que consta e</w:t>
      </w:r>
      <w:r>
        <w:rPr>
          <w:rFonts w:ascii="Arial" w:eastAsia="Arial" w:hAnsi="Arial" w:cs="Arial"/>
          <w:i/>
        </w:rPr>
        <w:t>scrito de fecha 26 de junio de 2018, en el que reitera la solicitud por parte de la entidad “GESPLAN, SA”, al que se adjunta Acuerdo del Comité Ejecutivo de la FECAM de 20 de abril de 2018, de designación de la representante de la FECAM a Dña. María Concep</w:t>
      </w:r>
      <w:r>
        <w:rPr>
          <w:rFonts w:ascii="Arial" w:eastAsia="Arial" w:hAnsi="Arial" w:cs="Arial"/>
          <w:i/>
        </w:rPr>
        <w:t xml:space="preserve">ción Brito Núñez, en el Consejo de Administración de GESPLAN.  </w:t>
      </w:r>
    </w:p>
    <w:p w:rsidR="00FA7413" w:rsidRDefault="00D712A8">
      <w:pPr>
        <w:spacing w:after="0"/>
        <w:ind w:left="1068"/>
      </w:pPr>
      <w:r>
        <w:rPr>
          <w:rFonts w:ascii="Arial" w:eastAsia="Arial" w:hAnsi="Arial" w:cs="Arial"/>
          <w:i/>
        </w:rPr>
        <w:t xml:space="preserve"> </w:t>
      </w:r>
    </w:p>
    <w:p w:rsidR="00FA7413" w:rsidRDefault="00D712A8">
      <w:pPr>
        <w:spacing w:after="1" w:line="247" w:lineRule="auto"/>
        <w:ind w:left="718" w:right="62" w:firstLine="350"/>
        <w:jc w:val="both"/>
      </w:pPr>
      <w:r>
        <w:rPr>
          <w:rFonts w:ascii="Arial" w:eastAsia="Arial" w:hAnsi="Arial" w:cs="Arial"/>
          <w:i/>
        </w:rPr>
        <w:t>Visto que consta oficio de fecha 19 de mayo de 2021 firmado por la Alcaldía, con registro de salida nº 1769, en el que se solicita a la entidad “GESPLAN, SA”, en el que se le solicita informe de acreditación por parte de esa entidad del cumplimiento de las</w:t>
      </w:r>
      <w:r>
        <w:rPr>
          <w:rFonts w:ascii="Arial" w:eastAsia="Arial" w:hAnsi="Arial" w:cs="Arial"/>
          <w:i/>
        </w:rPr>
        <w:t xml:space="preserve"> condiciones previstas en el art. 32.4 de la LCSP. </w:t>
      </w:r>
    </w:p>
    <w:p w:rsidR="00FA7413" w:rsidRDefault="00D712A8">
      <w:pPr>
        <w:spacing w:after="5"/>
        <w:ind w:left="718"/>
      </w:pPr>
      <w:r>
        <w:rPr>
          <w:rFonts w:ascii="Arial" w:eastAsia="Arial" w:hAnsi="Arial" w:cs="Arial"/>
          <w:i/>
        </w:rPr>
        <w:t xml:space="preserve"> </w:t>
      </w:r>
    </w:p>
    <w:p w:rsidR="00FA7413" w:rsidRDefault="00D712A8">
      <w:pPr>
        <w:spacing w:after="0" w:line="247" w:lineRule="auto"/>
        <w:ind w:left="728" w:right="62" w:hanging="10"/>
        <w:jc w:val="both"/>
      </w:pPr>
      <w:r>
        <w:rPr>
          <w:rFonts w:ascii="Arial" w:eastAsia="Arial" w:hAnsi="Arial" w:cs="Arial"/>
          <w:i/>
        </w:rPr>
        <w:t xml:space="preserve"> </w:t>
      </w:r>
      <w:r>
        <w:rPr>
          <w:rFonts w:ascii="Arial" w:eastAsia="Arial" w:hAnsi="Arial" w:cs="Arial"/>
          <w:i/>
        </w:rPr>
        <w:t>Consta escrito de la entidad “GESPLAN, SA”, con registro de entrada de fecha 20 de mayo de 2021 y nº 1717, en el que se adjunta certificado de fecha 20 de mayo de 2021, del Consejero Delegado de la Sociedad, que certifica que la Sociedad cumple con el art.</w:t>
      </w:r>
      <w:r>
        <w:rPr>
          <w:rFonts w:ascii="Arial" w:eastAsia="Arial" w:hAnsi="Arial" w:cs="Arial"/>
          <w:i/>
        </w:rPr>
        <w:t xml:space="preserve">32.4 para ser medio propio personificado del Ayuntamiento de Candelaria, del siguiente tenor literal: </w:t>
      </w:r>
    </w:p>
    <w:p w:rsidR="00FA7413" w:rsidRDefault="00D712A8">
      <w:pPr>
        <w:spacing w:after="17"/>
        <w:ind w:left="718"/>
      </w:pPr>
      <w:r>
        <w:rPr>
          <w:rFonts w:ascii="Arial" w:eastAsia="Arial" w:hAnsi="Arial" w:cs="Arial"/>
          <w:i/>
        </w:rPr>
        <w:t xml:space="preserve"> </w:t>
      </w:r>
    </w:p>
    <w:p w:rsidR="00FA7413" w:rsidRDefault="00D712A8">
      <w:pPr>
        <w:spacing w:after="0" w:line="247" w:lineRule="auto"/>
        <w:ind w:left="728" w:right="62" w:hanging="10"/>
        <w:jc w:val="both"/>
      </w:pPr>
      <w:r>
        <w:rPr>
          <w:rFonts w:ascii="Arial" w:eastAsia="Arial" w:hAnsi="Arial" w:cs="Arial"/>
          <w:i/>
        </w:rPr>
        <w:t xml:space="preserve"> “Manuel Agoney Piñero Ortiz, en calidad de Consejero Delegado de la Sociedad Mercantil Pública “Gestión y Planeamiento Territorial y Medioambiental, S</w:t>
      </w:r>
      <w:r>
        <w:rPr>
          <w:rFonts w:ascii="Arial" w:eastAsia="Arial" w:hAnsi="Arial" w:cs="Arial"/>
          <w:i/>
        </w:rPr>
        <w:t xml:space="preserve">.A.” (Gesplan), con CIF A38279972, en virtud del nombramiento realizado en la sesión del Consejo de Administración, celebrada el 8 de noviembre de 2019, estando sus facultades elevadas a público mediante la escritura pública otorgada en Las Palmas de Gran </w:t>
      </w:r>
      <w:r>
        <w:rPr>
          <w:rFonts w:ascii="Arial" w:eastAsia="Arial" w:hAnsi="Arial" w:cs="Arial"/>
          <w:i/>
        </w:rPr>
        <w:t>Canaria el 19 de noviembre de 2019 ante el Notario Don Lesmes Gutiérrez Rodríguez-Moldes, con el número 2158 de suprotocolo, estando inscrita en el Registro Mercantil de Las Palmas, y domicilio en Las Palmas de Gran Canaria, en la calle León y Castillo, nú</w:t>
      </w:r>
      <w:r>
        <w:rPr>
          <w:rFonts w:ascii="Arial" w:eastAsia="Arial" w:hAnsi="Arial" w:cs="Arial"/>
          <w:i/>
        </w:rPr>
        <w:t xml:space="preserve">mero 54, CERTIFICA:  </w:t>
      </w:r>
    </w:p>
    <w:p w:rsidR="00FA7413" w:rsidRDefault="00D712A8">
      <w:pPr>
        <w:spacing w:after="0" w:line="247" w:lineRule="auto"/>
        <w:ind w:left="728" w:right="62" w:hanging="10"/>
        <w:jc w:val="both"/>
      </w:pPr>
      <w:r>
        <w:rPr>
          <w:rFonts w:ascii="Arial" w:eastAsia="Arial" w:hAnsi="Arial" w:cs="Arial"/>
          <w:i/>
        </w:rPr>
        <w:t>1º.- Que esta sociedad mercantil pública cumple con lo establecido en el artículo 12 de la Directiva 24/2014/UE del Parlamento Europeo y del Consejo de 26 de febrero de 2014, y en el artículo 32 de la Ley 9/2017, de 8 de noviembre, de</w:t>
      </w:r>
      <w:r>
        <w:rPr>
          <w:rFonts w:ascii="Arial" w:eastAsia="Arial" w:hAnsi="Arial" w:cs="Arial"/>
          <w:i/>
        </w:rPr>
        <w:t xml:space="preserve"> Contratos del Sector Público. </w:t>
      </w:r>
    </w:p>
    <w:p w:rsidR="00FA7413" w:rsidRDefault="00D712A8">
      <w:pPr>
        <w:spacing w:after="0" w:line="247" w:lineRule="auto"/>
        <w:ind w:left="728" w:right="62" w:hanging="10"/>
        <w:jc w:val="both"/>
      </w:pPr>
      <w:r>
        <w:rPr>
          <w:noProof/>
        </w:rPr>
        <mc:AlternateContent>
          <mc:Choice Requires="wpg">
            <w:drawing>
              <wp:anchor distT="0" distB="0" distL="114300" distR="114300" simplePos="0" relativeHeight="251766784"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3204" name="Group 213204"/>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2248" name="Rectangle 12248"/>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2249" name="Rectangle 12249"/>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105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3204" style="width:12.7031pt;height:275.586pt;position:absolute;mso-position-horizontal-relative:page;mso-position-horizontal:absolute;margin-left:682.278pt;mso-position-vertical-relative:page;margin-top:536.334pt;" coordsize="1613,34999">
                <v:rect id="Rectangle 12248"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2249"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105 de 180 </w:t>
                        </w:r>
                      </w:p>
                    </w:txbxContent>
                  </v:textbox>
                </v:rect>
                <w10:wrap type="square"/>
              </v:group>
            </w:pict>
          </mc:Fallback>
        </mc:AlternateContent>
      </w:r>
      <w:r>
        <w:rPr>
          <w:rFonts w:ascii="Arial" w:eastAsia="Arial" w:hAnsi="Arial" w:cs="Arial"/>
          <w:i/>
        </w:rPr>
        <w:t xml:space="preserve"> 2º.- Que esta sociedad me</w:t>
      </w:r>
      <w:r>
        <w:rPr>
          <w:rFonts w:ascii="Arial" w:eastAsia="Arial" w:hAnsi="Arial" w:cs="Arial"/>
          <w:i/>
        </w:rPr>
        <w:t>rcantil pública tiene como socio único a la Comunidad Autónoma de Canarias, su capital social es íntegramente de titularidad pública y tiene la consideración de medio propio (M.P.) personificado respecto de la Administración Pública de la Comunidad Autónom</w:t>
      </w:r>
      <w:r>
        <w:rPr>
          <w:rFonts w:ascii="Arial" w:eastAsia="Arial" w:hAnsi="Arial" w:cs="Arial"/>
          <w:i/>
        </w:rPr>
        <w:t xml:space="preserve">a de Canarias y de los organismos autónomos dependientes de ella, de todos los Cabildos Insulares y de varios Ayuntamientos de las islas.  </w:t>
      </w:r>
    </w:p>
    <w:p w:rsidR="00FA7413" w:rsidRDefault="00D712A8">
      <w:pPr>
        <w:spacing w:after="0" w:line="247" w:lineRule="auto"/>
        <w:ind w:left="728" w:right="62" w:hanging="10"/>
        <w:jc w:val="both"/>
      </w:pPr>
      <w:r>
        <w:rPr>
          <w:rFonts w:ascii="Arial" w:eastAsia="Arial" w:hAnsi="Arial" w:cs="Arial"/>
          <w:i/>
        </w:rPr>
        <w:t>3º.- Que el Gobierno de Canarias, en sesión celebrada el día 26 de marzo de 2018, adoptó, entre otros, el Acuerdo po</w:t>
      </w:r>
      <w:r>
        <w:rPr>
          <w:rFonts w:ascii="Arial" w:eastAsia="Arial" w:hAnsi="Arial" w:cs="Arial"/>
          <w:i/>
        </w:rPr>
        <w:t>r el que se fijan las condiciones que deberán cumplir las entidades del Sector Público Autonómico con presupuesto estimativo para ser consideradas medio propio personificado y destinatarias de encargos en virtud de lo previsto en el artículo 32.2 de la Ley</w:t>
      </w:r>
      <w:r>
        <w:rPr>
          <w:rFonts w:ascii="Arial" w:eastAsia="Arial" w:hAnsi="Arial" w:cs="Arial"/>
          <w:i/>
        </w:rPr>
        <w:t xml:space="preserve"> 4/2012, de 25 de junio, de Medidas Administrativas y Fiscales.  </w:t>
      </w:r>
    </w:p>
    <w:p w:rsidR="00FA7413" w:rsidRDefault="00D712A8">
      <w:pPr>
        <w:spacing w:after="11" w:line="247" w:lineRule="auto"/>
        <w:ind w:left="728" w:right="62" w:hanging="10"/>
        <w:jc w:val="both"/>
      </w:pPr>
      <w:r>
        <w:rPr>
          <w:rFonts w:ascii="Arial" w:eastAsia="Arial" w:hAnsi="Arial" w:cs="Arial"/>
          <w:i/>
        </w:rPr>
        <w:t xml:space="preserve">4º.- Que el punto Primero, apartado b) del citado acuerdo, establece que:   </w:t>
      </w:r>
    </w:p>
    <w:p w:rsidR="00FA7413" w:rsidRDefault="00D712A8">
      <w:pPr>
        <w:spacing w:after="0" w:line="247" w:lineRule="auto"/>
        <w:ind w:left="718" w:right="62" w:firstLine="350"/>
        <w:jc w:val="both"/>
      </w:pPr>
      <w:r>
        <w:rPr>
          <w:rFonts w:ascii="Arial" w:eastAsia="Arial" w:hAnsi="Arial" w:cs="Arial"/>
          <w:i/>
        </w:rPr>
        <w:t>Se deberá tramitar un procedimiento de modificación estatutaria de aquellas entidades del sector público autonómi</w:t>
      </w:r>
      <w:r>
        <w:rPr>
          <w:rFonts w:ascii="Arial" w:eastAsia="Arial" w:hAnsi="Arial" w:cs="Arial"/>
          <w:i/>
        </w:rPr>
        <w:t>co con presupuesto estimativo que vayan a ser declaradas medio propio personificado de las entidades locales canarias para: …La modificación de la composición del consejo de administración para incrementar en dos miembros el número de vocales, que serían d</w:t>
      </w:r>
      <w:r>
        <w:rPr>
          <w:rFonts w:ascii="Arial" w:eastAsia="Arial" w:hAnsi="Arial" w:cs="Arial"/>
          <w:i/>
        </w:rPr>
        <w:t xml:space="preserve">esignados por las Corporaciones Locales canarias y representarían, uno de ellos, a la totalidad de los Cabildos Insulares y, otro, a la totalidad de los Ayuntamientos que le consideran medio propio personificado… </w:t>
      </w:r>
    </w:p>
    <w:p w:rsidR="00FA7413" w:rsidRDefault="00D712A8">
      <w:pPr>
        <w:spacing w:after="0" w:line="247" w:lineRule="auto"/>
        <w:ind w:left="718" w:right="62" w:firstLine="350"/>
        <w:jc w:val="both"/>
      </w:pPr>
      <w:r>
        <w:rPr>
          <w:rFonts w:ascii="Arial" w:eastAsia="Arial" w:hAnsi="Arial" w:cs="Arial"/>
          <w:i/>
        </w:rPr>
        <w:t xml:space="preserve"> 5º.- Que, en virtud de lo dispuesto en el</w:t>
      </w:r>
      <w:r>
        <w:rPr>
          <w:rFonts w:ascii="Arial" w:eastAsia="Arial" w:hAnsi="Arial" w:cs="Arial"/>
          <w:i/>
        </w:rPr>
        <w:t xml:space="preserve"> citado acuerdo, en el Consejo de Administración de la sociedad, están representados todos los Cabildos Insulares y todos los Ayuntamientos de los que Gesplan es medio propio personificado, con dos vocales, uno que representa a la totalidad de los Cabildos</w:t>
      </w:r>
      <w:r>
        <w:rPr>
          <w:rFonts w:ascii="Arial" w:eastAsia="Arial" w:hAnsi="Arial" w:cs="Arial"/>
          <w:i/>
        </w:rPr>
        <w:t xml:space="preserve">, y otro que representa a la totalidad de los Ayuntamientos.  </w:t>
      </w:r>
    </w:p>
    <w:p w:rsidR="00FA7413" w:rsidRDefault="00D712A8">
      <w:pPr>
        <w:spacing w:after="0" w:line="247" w:lineRule="auto"/>
        <w:ind w:left="718" w:right="62" w:firstLine="350"/>
        <w:jc w:val="both"/>
      </w:pPr>
      <w:r>
        <w:rPr>
          <w:rFonts w:ascii="Arial" w:eastAsia="Arial" w:hAnsi="Arial" w:cs="Arial"/>
          <w:i/>
        </w:rPr>
        <w:t>6º.- Que el poder adjudicador ejerce sobre Gesplan un control análogo al que ejerce sobre sus propios servicios. 7º.- Que la sociedad no puede realizar funciones que impliquen ejercicio de auto</w:t>
      </w:r>
      <w:r>
        <w:rPr>
          <w:rFonts w:ascii="Arial" w:eastAsia="Arial" w:hAnsi="Arial" w:cs="Arial"/>
          <w:i/>
        </w:rPr>
        <w:t>ridad o requieran el ejercicio de potestades administrativas, salvo atribución expresa por Ley, ni puede perseguir intereses contrarios a los intereses de los entes titulares que realicen los encargos, no pudiendo implicar, en ningún caso, atribución de fu</w:t>
      </w:r>
      <w:r>
        <w:rPr>
          <w:rFonts w:ascii="Arial" w:eastAsia="Arial" w:hAnsi="Arial" w:cs="Arial"/>
          <w:i/>
        </w:rPr>
        <w:t xml:space="preserve">nciones o facultades sujetas a Derecho Administrativo propias de la Administración. </w:t>
      </w:r>
    </w:p>
    <w:p w:rsidR="00FA7413" w:rsidRDefault="00D712A8">
      <w:pPr>
        <w:spacing w:after="0" w:line="247" w:lineRule="auto"/>
        <w:ind w:left="718" w:right="62" w:firstLine="350"/>
        <w:jc w:val="both"/>
      </w:pPr>
      <w:r>
        <w:rPr>
          <w:rFonts w:ascii="Arial" w:eastAsia="Arial" w:hAnsi="Arial" w:cs="Arial"/>
          <w:i/>
        </w:rPr>
        <w:t xml:space="preserve">7º.- Que la sociedad no puede realizar funciones que impliquen ejercicio de autoridad o requieran el ejercicio de potestades administrativas, salvo atribución expresa por </w:t>
      </w:r>
      <w:r>
        <w:rPr>
          <w:rFonts w:ascii="Arial" w:eastAsia="Arial" w:hAnsi="Arial" w:cs="Arial"/>
          <w:i/>
        </w:rPr>
        <w:t xml:space="preserve">Ley, ni puede perseguir intereses contrarios a los intereses de los entes titulares que realicen los encargos, no pudiendo implicar, en ningún caso, atribución de funciones o facultades sujetas a Derecho Administrativo propias de la Administración.  </w:t>
      </w:r>
    </w:p>
    <w:p w:rsidR="00FA7413" w:rsidRDefault="00D712A8">
      <w:pPr>
        <w:spacing w:after="0" w:line="247" w:lineRule="auto"/>
        <w:ind w:left="718" w:right="62" w:firstLine="350"/>
        <w:jc w:val="both"/>
      </w:pPr>
      <w:r>
        <w:rPr>
          <w:rFonts w:ascii="Arial" w:eastAsia="Arial" w:hAnsi="Arial" w:cs="Arial"/>
          <w:i/>
        </w:rPr>
        <w:t xml:space="preserve">8º.- </w:t>
      </w:r>
      <w:r>
        <w:rPr>
          <w:rFonts w:ascii="Arial" w:eastAsia="Arial" w:hAnsi="Arial" w:cs="Arial"/>
          <w:i/>
        </w:rPr>
        <w:t>Que, mediante Orden, nº 187/2019, de 11 de Julio, de la Consejería de Transición Ecológica, Lucha contra el cambio Climático y Planificación Territorial, se aprueban las tarifas aplicables a las actuaciones a realizar por Gesplan como medio propio personif</w:t>
      </w:r>
      <w:r>
        <w:rPr>
          <w:rFonts w:ascii="Arial" w:eastAsia="Arial" w:hAnsi="Arial" w:cs="Arial"/>
          <w:i/>
        </w:rPr>
        <w:t xml:space="preserve">icado dependiente de la citada Consejería, modificada por Orden, nº 39/2019, de 30 de septiembre, modificada ésta a su vez por Orden, nº 47/2019, de 7 de octubre. </w:t>
      </w:r>
    </w:p>
    <w:p w:rsidR="00FA7413" w:rsidRDefault="00D712A8">
      <w:pPr>
        <w:spacing w:after="0" w:line="247" w:lineRule="auto"/>
        <w:ind w:left="728" w:right="62" w:hanging="10"/>
        <w:jc w:val="both"/>
      </w:pPr>
      <w:r>
        <w:rPr>
          <w:rFonts w:ascii="Arial" w:eastAsia="Arial" w:hAnsi="Arial" w:cs="Arial"/>
          <w:i/>
        </w:rPr>
        <w:t>9º.- Que de conformidad con lo establecido en el apartado 2b del citado artículo, más del 80</w:t>
      </w:r>
      <w:r>
        <w:rPr>
          <w:rFonts w:ascii="Arial" w:eastAsia="Arial" w:hAnsi="Arial" w:cs="Arial"/>
          <w:i/>
        </w:rPr>
        <w:t xml:space="preserve"> % de las actividades de esta sociedad mercantil pública se lleva a cabo en el ejercicio de los cometidos que le han sido confiados por el poder adjudicador que la controla o por otras personas jurídicas controladas por dicho poder adjudicador, cumpliéndos</w:t>
      </w:r>
      <w:r>
        <w:rPr>
          <w:rFonts w:ascii="Arial" w:eastAsia="Arial" w:hAnsi="Arial" w:cs="Arial"/>
          <w:i/>
        </w:rPr>
        <w:t xml:space="preserve">e dicho porcentaje en los tres ejercicios anteriores.  </w:t>
      </w:r>
    </w:p>
    <w:p w:rsidR="00FA7413" w:rsidRDefault="00D712A8">
      <w:pPr>
        <w:spacing w:after="11" w:line="247" w:lineRule="auto"/>
        <w:ind w:left="728" w:right="62" w:hanging="10"/>
        <w:jc w:val="both"/>
      </w:pPr>
      <w:r>
        <w:rPr>
          <w:rFonts w:ascii="Arial" w:eastAsia="Arial" w:hAnsi="Arial" w:cs="Arial"/>
          <w:i/>
        </w:rPr>
        <w:t xml:space="preserve">10º.- Que no existe participación directa de capital privado en esta sociedad.  </w:t>
      </w:r>
    </w:p>
    <w:p w:rsidR="00FA7413" w:rsidRDefault="00D712A8">
      <w:pPr>
        <w:spacing w:after="0" w:line="247" w:lineRule="auto"/>
        <w:ind w:left="728" w:right="62" w:hanging="10"/>
        <w:jc w:val="both"/>
      </w:pPr>
      <w:r>
        <w:rPr>
          <w:noProof/>
        </w:rPr>
        <mc:AlternateContent>
          <mc:Choice Requires="wpg">
            <w:drawing>
              <wp:anchor distT="0" distB="0" distL="114300" distR="114300" simplePos="0" relativeHeight="251767808"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3206" name="Group 213206"/>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2378" name="Rectangle 12378"/>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2379" name="Rectangle 12379"/>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106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3206" style="width:12.7031pt;height:275.586pt;position:absolute;mso-position-horizontal-relative:page;mso-position-horizontal:absolute;margin-left:682.278pt;mso-position-vertical-relative:page;margin-top:536.334pt;" coordsize="1613,34999">
                <v:rect id="Rectangle 12378"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2379"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106 de 180 </w:t>
                        </w:r>
                      </w:p>
                    </w:txbxContent>
                  </v:textbox>
                </v:rect>
                <w10:wrap type="square"/>
              </v:group>
            </w:pict>
          </mc:Fallback>
        </mc:AlternateContent>
      </w:r>
      <w:r>
        <w:rPr>
          <w:rFonts w:ascii="Arial" w:eastAsia="Arial" w:hAnsi="Arial" w:cs="Arial"/>
          <w:i/>
        </w:rPr>
        <w:t>11º.- Que la actividad procedente de los poderes adjudicadores de esta sociedad mercantil pública en los cuatro últimos ejercicios ha sido del 97% (ejercicio 201</w:t>
      </w:r>
      <w:r>
        <w:rPr>
          <w:rFonts w:ascii="Arial" w:eastAsia="Arial" w:hAnsi="Arial" w:cs="Arial"/>
          <w:i/>
        </w:rPr>
        <w:t>7), 97% (ejercicio 2018), 98% (ejercicio 2019) y 99,72% (ejercicio 2020) superando el 80% exigido en la Ley.  12º.- Que Gesplan, según lo establecido en sus estatutos y en cumplimiento de lo regulado en el artículo 32 de la Ley 9/2017, de 8 de noviembre, d</w:t>
      </w:r>
      <w:r>
        <w:rPr>
          <w:rFonts w:ascii="Arial" w:eastAsia="Arial" w:hAnsi="Arial" w:cs="Arial"/>
          <w:i/>
        </w:rPr>
        <w:t>e Contratos del Sector Público, así como en el artículo 32 (régimen jurídico de las encomiendas de gestión) de la Ley 4/2012, de 25 de junio, de medidas administrativas y fiscales, puede realizar las actividades de carácter material, técnico o de servicios</w:t>
      </w:r>
      <w:r>
        <w:rPr>
          <w:rFonts w:ascii="Arial" w:eastAsia="Arial" w:hAnsi="Arial" w:cs="Arial"/>
          <w:i/>
        </w:rPr>
        <w:t xml:space="preserve"> que le encargue, entre otros, la Administración Pública de la Comunidad Autónoma de Canarias y los organismos autónomos dependientes de ella en el marco de sus respectivas competencias y funciones y en las materias que constituyan su objeto social, todo e</w:t>
      </w:r>
      <w:r>
        <w:rPr>
          <w:rFonts w:ascii="Arial" w:eastAsia="Arial" w:hAnsi="Arial" w:cs="Arial"/>
          <w:i/>
        </w:rPr>
        <w:t>llo en cumplimiento a lo establecido en la escritura pública nº 1101 de 7 de junio de 2019, por la que se modifica el artículo 1 de sus Estatutos para adaptarlos a la nueva Ley de Contratos del Sector Público, estando debidamente inscrita en el Registro Me</w:t>
      </w:r>
      <w:r>
        <w:rPr>
          <w:rFonts w:ascii="Arial" w:eastAsia="Arial" w:hAnsi="Arial" w:cs="Arial"/>
          <w:i/>
        </w:rPr>
        <w:t xml:space="preserve">rcantil correspondiente, así como en lo establecido en la escritura pública con nº de protocolo 1112, otorgada con fecha 22 de julio de 2020 relativa a la modificación del art. 1 de sus Estatutos al objeto de adaptarlos a la Ley 9/2017, de 8 de noviembre, </w:t>
      </w:r>
      <w:r>
        <w:rPr>
          <w:rFonts w:ascii="Arial" w:eastAsia="Arial" w:hAnsi="Arial" w:cs="Arial"/>
          <w:i/>
        </w:rPr>
        <w:t xml:space="preserve">de Contratos del Sector Público. </w:t>
      </w:r>
    </w:p>
    <w:p w:rsidR="00FA7413" w:rsidRDefault="00D712A8">
      <w:pPr>
        <w:spacing w:after="0" w:line="247" w:lineRule="auto"/>
        <w:ind w:left="728" w:right="62" w:hanging="10"/>
        <w:jc w:val="both"/>
      </w:pPr>
      <w:r>
        <w:rPr>
          <w:rFonts w:ascii="Arial" w:eastAsia="Arial" w:hAnsi="Arial" w:cs="Arial"/>
          <w:i/>
        </w:rPr>
        <w:t xml:space="preserve">13º.- Que en base al cumplimiento del Acuerdo de Gobierno de 24 de abril de 2014, relativo al Informe sobre las medidas preventivas de detección temprana de procedimientos Residencial Amarca Avda. 3 de Mayo, 71 Local Bajo </w:t>
      </w:r>
      <w:r>
        <w:rPr>
          <w:rFonts w:ascii="Arial" w:eastAsia="Arial" w:hAnsi="Arial" w:cs="Arial"/>
          <w:i/>
        </w:rPr>
        <w:t>B 38005 Santa Cruz de Tenerife Apdo. 10.167 T. 922 887 887 F. 922 223 914 tenerife@gesplan.org C/ León y Castillo, 54 35003 Las Palmas de Gran Canaria Apdo. 3.674 T. 928 301 150 F. 928 380 299 contacto@gesplan.es previstas en el Acuerdo de Gobierno de 20 d</w:t>
      </w:r>
      <w:r>
        <w:rPr>
          <w:rFonts w:ascii="Arial" w:eastAsia="Arial" w:hAnsi="Arial" w:cs="Arial"/>
          <w:i/>
        </w:rPr>
        <w:t xml:space="preserve">e febrero de 2014, Gesplan velará para facturar los encargos que se le realicen sin que se ponga en riesgo su sostenibilidad financiera y que la repercusión del mismo en relación con el resultado del ejercicio no tendrá efecto negativo, así como que en la </w:t>
      </w:r>
      <w:r>
        <w:rPr>
          <w:rFonts w:ascii="Arial" w:eastAsia="Arial" w:hAnsi="Arial" w:cs="Arial"/>
          <w:i/>
        </w:rPr>
        <w:t>planificación de costes prevista estarán cubiertos todos los gastos que se deriven de la misma, y en relación con su incidencia en la corrientes de cobros y pagos, se procederá a solicitar anticipo de tesorería en el caso de que por su forma de facturación</w:t>
      </w:r>
      <w:r>
        <w:rPr>
          <w:rFonts w:ascii="Arial" w:eastAsia="Arial" w:hAnsi="Arial" w:cs="Arial"/>
          <w:i/>
        </w:rPr>
        <w:t xml:space="preserve"> así lo permita, de conformidad con la Orden de 1 de octubre de 2007 sobre procedimiento para la tramitación de anticipos de tesorería a los entes integrantes del sector público autonómico por el plazo no superior de un año (BOC nº 208, de 18 de octubre de</w:t>
      </w:r>
      <w:r>
        <w:rPr>
          <w:rFonts w:ascii="Arial" w:eastAsia="Arial" w:hAnsi="Arial" w:cs="Arial"/>
          <w:i/>
        </w:rPr>
        <w:t xml:space="preserve"> 2007), o el abono anticipado de conformidad con lo establecido en la Resolución de 14 de febrero de 2020 (publicado en el BOC nº39, de 26 de febrero), por la que se dispone la publicación del Acuerdo que modifica el Acuerdo de Gobierno de 22 de febrero de</w:t>
      </w:r>
      <w:r>
        <w:rPr>
          <w:rFonts w:ascii="Arial" w:eastAsia="Arial" w:hAnsi="Arial" w:cs="Arial"/>
          <w:i/>
        </w:rPr>
        <w:t xml:space="preserve"> 2016, por el que se aprueban los criterios generales y medidas que conforman el marco de referencia para la asignación y el uso eficiente de los recursos públicos en el sector público autonómico, en la Ley 7/2020, de 29 de diciembre, de Presupuestos Gener</w:t>
      </w:r>
      <w:r>
        <w:rPr>
          <w:rFonts w:ascii="Arial" w:eastAsia="Arial" w:hAnsi="Arial" w:cs="Arial"/>
          <w:i/>
        </w:rPr>
        <w:t>ales de la Comunidad Autónoma de Canarias para el ejercicio 2021, y conformidad con el Acuerdo de Gobierno de 26 de marzo de 2020, publicado en el BOC nº 73 de 14 de abril de 2020 relativo a las condiciones de autorización de los abonos anticipados de subv</w:t>
      </w:r>
      <w:r>
        <w:rPr>
          <w:rFonts w:ascii="Arial" w:eastAsia="Arial" w:hAnsi="Arial" w:cs="Arial"/>
          <w:i/>
        </w:rPr>
        <w:t>enciones, aportaciones dinerarias, encargos y encomiendas de gestión, modificado mediante la Resolución de 1 de octubre de 2020, publicada en el BOC nº 208, de 9 de octubre y mediante la Resolución de 26 de noviembre de 2020, publicada en el BOC nº 248, de</w:t>
      </w:r>
      <w:r>
        <w:rPr>
          <w:rFonts w:ascii="Arial" w:eastAsia="Arial" w:hAnsi="Arial" w:cs="Arial"/>
          <w:i/>
        </w:rPr>
        <w:t xml:space="preserve"> 4 de diciembre de 2020 y por último de 25 de febrero de 2021.” </w:t>
      </w:r>
    </w:p>
    <w:p w:rsidR="00FA7413" w:rsidRDefault="00D712A8">
      <w:pPr>
        <w:spacing w:after="0"/>
        <w:ind w:left="718"/>
      </w:pPr>
      <w:r>
        <w:rPr>
          <w:rFonts w:ascii="Arial" w:eastAsia="Arial" w:hAnsi="Arial" w:cs="Arial"/>
          <w:i/>
        </w:rPr>
        <w:t xml:space="preserve"> </w:t>
      </w:r>
    </w:p>
    <w:p w:rsidR="00FA7413" w:rsidRDefault="00D712A8">
      <w:pPr>
        <w:spacing w:after="0"/>
        <w:ind w:left="718"/>
      </w:pPr>
      <w:r>
        <w:rPr>
          <w:rFonts w:ascii="Arial" w:eastAsia="Arial" w:hAnsi="Arial" w:cs="Arial"/>
          <w:i/>
        </w:rPr>
        <w:t xml:space="preserve"> </w:t>
      </w:r>
    </w:p>
    <w:p w:rsidR="00FA7413" w:rsidRDefault="00D712A8">
      <w:pPr>
        <w:spacing w:after="0"/>
        <w:ind w:left="1013" w:right="717" w:hanging="10"/>
        <w:jc w:val="center"/>
      </w:pPr>
      <w:r>
        <w:rPr>
          <w:rFonts w:ascii="Arial" w:eastAsia="Arial" w:hAnsi="Arial" w:cs="Arial"/>
          <w:i/>
        </w:rPr>
        <w:t xml:space="preserve">FUNDAMENTOS JURÍDICOS </w:t>
      </w:r>
    </w:p>
    <w:p w:rsidR="00FA7413" w:rsidRDefault="00D712A8">
      <w:pPr>
        <w:spacing w:after="0"/>
        <w:ind w:left="346"/>
        <w:jc w:val="center"/>
      </w:pPr>
      <w:r>
        <w:rPr>
          <w:rFonts w:ascii="Arial" w:eastAsia="Arial" w:hAnsi="Arial" w:cs="Arial"/>
          <w:i/>
        </w:rPr>
        <w:t xml:space="preserve"> </w:t>
      </w:r>
    </w:p>
    <w:p w:rsidR="00FA7413" w:rsidRDefault="00D712A8">
      <w:pPr>
        <w:spacing w:after="0"/>
        <w:ind w:left="1013" w:right="720" w:hanging="10"/>
        <w:jc w:val="center"/>
      </w:pPr>
      <w:r>
        <w:rPr>
          <w:rFonts w:ascii="Arial" w:eastAsia="Arial" w:hAnsi="Arial" w:cs="Arial"/>
          <w:i/>
        </w:rPr>
        <w:t xml:space="preserve">PRIMERO </w:t>
      </w:r>
    </w:p>
    <w:p w:rsidR="00FA7413" w:rsidRDefault="00D712A8">
      <w:pPr>
        <w:spacing w:after="0"/>
        <w:ind w:left="346"/>
        <w:jc w:val="center"/>
      </w:pPr>
      <w:r>
        <w:rPr>
          <w:rFonts w:ascii="Arial" w:eastAsia="Arial" w:hAnsi="Arial" w:cs="Arial"/>
          <w:i/>
        </w:rPr>
        <w:t xml:space="preserve"> </w:t>
      </w:r>
    </w:p>
    <w:p w:rsidR="00FA7413" w:rsidRDefault="00D712A8">
      <w:pPr>
        <w:spacing w:after="0" w:line="247" w:lineRule="auto"/>
        <w:ind w:left="355" w:right="62" w:hanging="10"/>
        <w:jc w:val="both"/>
      </w:pPr>
      <w:r>
        <w:rPr>
          <w:rFonts w:ascii="Arial" w:eastAsia="Arial" w:hAnsi="Arial" w:cs="Arial"/>
          <w:i/>
        </w:rPr>
        <w:t xml:space="preserve">-Posibilidad de que el Ayuntamiento considere como medio propio personificado a una entidad del sector público autonómico. </w:t>
      </w:r>
    </w:p>
    <w:p w:rsidR="00FA7413" w:rsidRDefault="00D712A8">
      <w:pPr>
        <w:spacing w:after="0"/>
        <w:ind w:left="360"/>
      </w:pPr>
      <w:r>
        <w:rPr>
          <w:rFonts w:ascii="Arial" w:eastAsia="Arial" w:hAnsi="Arial" w:cs="Arial"/>
          <w:i/>
        </w:rPr>
        <w:t xml:space="preserve"> </w:t>
      </w:r>
    </w:p>
    <w:p w:rsidR="00FA7413" w:rsidRDefault="00D712A8">
      <w:pPr>
        <w:spacing w:after="350" w:line="247" w:lineRule="auto"/>
        <w:ind w:left="355" w:right="62" w:hanging="10"/>
        <w:jc w:val="both"/>
      </w:pPr>
      <w:r>
        <w:rPr>
          <w:rFonts w:ascii="Arial" w:eastAsia="Arial" w:hAnsi="Arial" w:cs="Arial"/>
          <w:i/>
        </w:rPr>
        <w:t xml:space="preserve"> 1.- Art. 32-</w:t>
      </w:r>
      <w:r>
        <w:rPr>
          <w:rFonts w:ascii="Arial" w:eastAsia="Arial" w:hAnsi="Arial" w:cs="Arial"/>
          <w:i/>
        </w:rPr>
        <w:t xml:space="preserve">Régimen jurídico de las encomiendas de gestión- de la Ley 4/2012, de 25 de junio, de medidas administrativas y fiscales, dice: </w:t>
      </w:r>
    </w:p>
    <w:p w:rsidR="00FA7413" w:rsidRDefault="00D712A8">
      <w:pPr>
        <w:tabs>
          <w:tab w:val="center" w:pos="360"/>
          <w:tab w:val="center" w:pos="4439"/>
        </w:tabs>
        <w:spacing w:after="150" w:line="248" w:lineRule="auto"/>
      </w:pPr>
      <w:r>
        <w:rPr>
          <w:noProof/>
        </w:rPr>
        <mc:AlternateContent>
          <mc:Choice Requires="wpg">
            <w:drawing>
              <wp:anchor distT="0" distB="0" distL="114300" distR="114300" simplePos="0" relativeHeight="251768832"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3976" name="Group 213976"/>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2543" name="Rectangle 12543"/>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2544" name="Rectangle 12544"/>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Documento firmado electró</w:t>
                              </w:r>
                              <w:r>
                                <w:rPr>
                                  <w:rFonts w:ascii="Arial" w:eastAsia="Arial" w:hAnsi="Arial" w:cs="Arial"/>
                                  <w:sz w:val="12"/>
                                </w:rPr>
                                <w:t xml:space="preserve">nicamente desde la plataforma esPublico Gestiona | Página 107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3976" style="width:12.7031pt;height:275.586pt;position:absolute;mso-position-horizontal-relative:page;mso-position-horizontal:absolute;margin-left:682.278pt;mso-position-vertical-relative:page;margin-top:536.334pt;" coordsize="1613,34999">
                <v:rect id="Rectangle 12543"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2544"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107 de 180 </w:t>
                        </w:r>
                      </w:p>
                    </w:txbxContent>
                  </v:textbox>
                </v:rect>
                <w10:wrap type="square"/>
              </v:group>
            </w:pict>
          </mc:Fallback>
        </mc:AlternateContent>
      </w:r>
      <w:r>
        <w:tab/>
      </w:r>
      <w:r>
        <w:rPr>
          <w:rFonts w:ascii="Arial" w:eastAsia="Arial" w:hAnsi="Arial" w:cs="Arial"/>
          <w:b/>
          <w:color w:val="2E74B5"/>
        </w:rPr>
        <w:t xml:space="preserve"> </w:t>
      </w:r>
      <w:r>
        <w:rPr>
          <w:rFonts w:ascii="Arial" w:eastAsia="Arial" w:hAnsi="Arial" w:cs="Arial"/>
          <w:b/>
          <w:color w:val="2E74B5"/>
        </w:rPr>
        <w:tab/>
        <w:t xml:space="preserve">“ </w:t>
      </w:r>
      <w:r>
        <w:rPr>
          <w:rFonts w:ascii="Arial" w:eastAsia="Arial" w:hAnsi="Arial" w:cs="Arial"/>
          <w:b/>
        </w:rPr>
        <w:t>Artículo 32. Régimen jurídico de las encomiendas de gestión.</w:t>
      </w:r>
      <w:r>
        <w:rPr>
          <w:color w:val="2E74B5"/>
          <w:sz w:val="24"/>
        </w:rPr>
        <w:t xml:space="preserve"> </w:t>
      </w:r>
    </w:p>
    <w:p w:rsidR="00FA7413" w:rsidRDefault="00D712A8">
      <w:pPr>
        <w:spacing w:after="157" w:line="247" w:lineRule="auto"/>
        <w:ind w:left="345" w:right="62" w:firstLine="360"/>
        <w:jc w:val="both"/>
      </w:pPr>
      <w:r>
        <w:rPr>
          <w:rFonts w:ascii="Arial" w:eastAsia="Arial" w:hAnsi="Arial" w:cs="Arial"/>
          <w:i/>
        </w:rPr>
        <w:t xml:space="preserve">“1. Los entes, organismos y entidades del sector público que cumplan con lo establecido en el artículo </w:t>
      </w:r>
      <w:r>
        <w:rPr>
          <w:rFonts w:ascii="Arial" w:eastAsia="Arial" w:hAnsi="Arial" w:cs="Arial"/>
          <w:i/>
        </w:rPr>
        <w:t xml:space="preserve">24.6 del texto refundido de la Ley de Contratos del Sector Público, aprobado por Real Decreto Legislativo 3/2011, de 14 de noviembre, podrán realizar las actividades de carácter material, técnico o de servicios que le encomienden la Administración Pública </w:t>
      </w:r>
      <w:r>
        <w:rPr>
          <w:rFonts w:ascii="Arial" w:eastAsia="Arial" w:hAnsi="Arial" w:cs="Arial"/>
          <w:i/>
        </w:rPr>
        <w:t>de la Comunidad Autónoma de Canarias, los organismos autónomos dependientes de ella y los cabildos insulares en el marco de sus respectivas competencias y funciones y en las materias que constituyen el objeto social de los mismos, y especialmente, aquellas</w:t>
      </w:r>
      <w:r>
        <w:rPr>
          <w:rFonts w:ascii="Arial" w:eastAsia="Arial" w:hAnsi="Arial" w:cs="Arial"/>
          <w:i/>
        </w:rPr>
        <w:t xml:space="preserve"> que sean urgentes o que se ordenen como consecuencia de las situaciones de emergencia que se declaren.</w:t>
      </w:r>
      <w:r>
        <w:rPr>
          <w:rFonts w:ascii="Times New Roman" w:eastAsia="Times New Roman" w:hAnsi="Times New Roman" w:cs="Times New Roman"/>
          <w:sz w:val="24"/>
        </w:rPr>
        <w:t xml:space="preserve"> </w:t>
      </w:r>
    </w:p>
    <w:p w:rsidR="00FA7413" w:rsidRDefault="00D712A8">
      <w:pPr>
        <w:numPr>
          <w:ilvl w:val="0"/>
          <w:numId w:val="23"/>
        </w:numPr>
        <w:spacing w:after="156" w:line="247" w:lineRule="auto"/>
        <w:ind w:right="62" w:firstLine="360"/>
        <w:jc w:val="both"/>
      </w:pPr>
      <w:r>
        <w:rPr>
          <w:rFonts w:ascii="Arial" w:eastAsia="Arial" w:hAnsi="Arial" w:cs="Arial"/>
          <w:i/>
        </w:rPr>
        <w:t xml:space="preserve">Las encomiendas de gestión a que se refieren los apartados anteriores se formalizarán por escrito y regularán mediante los instrumentos jurídicos, que </w:t>
      </w:r>
      <w:r>
        <w:rPr>
          <w:rFonts w:ascii="Arial" w:eastAsia="Arial" w:hAnsi="Arial" w:cs="Arial"/>
          <w:i/>
        </w:rPr>
        <w:t>deberán ser autorizados por el titular del departamento al que estén adscritas las entidades encomendadas. Deberán incluir, al menos, una relación detallada de la actividad o actividades a las que afecten y su plazo de realización.</w:t>
      </w:r>
      <w:r>
        <w:rPr>
          <w:rFonts w:ascii="Times New Roman" w:eastAsia="Times New Roman" w:hAnsi="Times New Roman" w:cs="Times New Roman"/>
          <w:sz w:val="24"/>
        </w:rPr>
        <w:t xml:space="preserve"> </w:t>
      </w:r>
    </w:p>
    <w:p w:rsidR="00FA7413" w:rsidRDefault="00D712A8">
      <w:pPr>
        <w:numPr>
          <w:ilvl w:val="0"/>
          <w:numId w:val="23"/>
        </w:numPr>
        <w:spacing w:after="157" w:line="247" w:lineRule="auto"/>
        <w:ind w:right="62" w:firstLine="360"/>
        <w:jc w:val="both"/>
      </w:pPr>
      <w:r>
        <w:rPr>
          <w:rFonts w:ascii="Arial" w:eastAsia="Arial" w:hAnsi="Arial" w:cs="Arial"/>
          <w:i/>
        </w:rPr>
        <w:t>La encomienda de dichas</w:t>
      </w:r>
      <w:r>
        <w:rPr>
          <w:rFonts w:ascii="Arial" w:eastAsia="Arial" w:hAnsi="Arial" w:cs="Arial"/>
          <w:i/>
        </w:rPr>
        <w:t xml:space="preserve"> actividades no podrá implicar, en ningún caso, la atribución a las entidades encomendadas de potestades, funciones o facultades sujetas a Derecho Administrativo propias de la Administración.</w:t>
      </w:r>
      <w:r>
        <w:rPr>
          <w:rFonts w:ascii="Times New Roman" w:eastAsia="Times New Roman" w:hAnsi="Times New Roman" w:cs="Times New Roman"/>
          <w:sz w:val="24"/>
        </w:rPr>
        <w:t xml:space="preserve"> </w:t>
      </w:r>
    </w:p>
    <w:p w:rsidR="00FA7413" w:rsidRDefault="00D712A8">
      <w:pPr>
        <w:numPr>
          <w:ilvl w:val="0"/>
          <w:numId w:val="23"/>
        </w:numPr>
        <w:spacing w:after="155" w:line="247" w:lineRule="auto"/>
        <w:ind w:right="62" w:firstLine="360"/>
        <w:jc w:val="both"/>
      </w:pPr>
      <w:r>
        <w:rPr>
          <w:rFonts w:ascii="Arial" w:eastAsia="Arial" w:hAnsi="Arial" w:cs="Arial"/>
          <w:i/>
        </w:rPr>
        <w:t>La comunicación del encargo de una actuación específica supondr</w:t>
      </w:r>
      <w:r>
        <w:rPr>
          <w:rFonts w:ascii="Arial" w:eastAsia="Arial" w:hAnsi="Arial" w:cs="Arial"/>
          <w:i/>
        </w:rPr>
        <w:t>á, para las entidades encomendadas, la orden para iniciarla, debiendo realizar su ejecución a partir de dicha notificación, y en los términos previstos en el correspondiente instrumento jurídico y en el propio encargo.</w:t>
      </w:r>
      <w:r>
        <w:rPr>
          <w:rFonts w:ascii="Times New Roman" w:eastAsia="Times New Roman" w:hAnsi="Times New Roman" w:cs="Times New Roman"/>
          <w:sz w:val="24"/>
        </w:rPr>
        <w:t xml:space="preserve"> </w:t>
      </w:r>
    </w:p>
    <w:p w:rsidR="00FA7413" w:rsidRDefault="00D712A8">
      <w:pPr>
        <w:numPr>
          <w:ilvl w:val="0"/>
          <w:numId w:val="23"/>
        </w:numPr>
        <w:spacing w:after="158" w:line="247" w:lineRule="auto"/>
        <w:ind w:right="62" w:firstLine="360"/>
        <w:jc w:val="both"/>
      </w:pPr>
      <w:r>
        <w:rPr>
          <w:rFonts w:ascii="Arial" w:eastAsia="Arial" w:hAnsi="Arial" w:cs="Arial"/>
          <w:i/>
        </w:rPr>
        <w:t>La tramitación del encargo podrá ult</w:t>
      </w:r>
      <w:r>
        <w:rPr>
          <w:rFonts w:ascii="Arial" w:eastAsia="Arial" w:hAnsi="Arial" w:cs="Arial"/>
          <w:i/>
        </w:rPr>
        <w:t>imarse anticipadamente cuando su ejecución deba iniciarse en el ejercicio siguiente. En tales casos, el escrito de encargo de la encomienda deberá contener expresa referencia a que la realización del encargo queda sujeta a la condición de que en el ejercic</w:t>
      </w:r>
      <w:r>
        <w:rPr>
          <w:rFonts w:ascii="Arial" w:eastAsia="Arial" w:hAnsi="Arial" w:cs="Arial"/>
          <w:i/>
        </w:rPr>
        <w:t>io siguiente exista crédito adecuado y suficiente para financiar las actuaciones objeto del encargo. La efectiva ejecución de la encomienda no comenzará hasta que, iniciado el ejercicio siguiente y contraído el crédito, se curse la correspondiente comunica</w:t>
      </w:r>
      <w:r>
        <w:rPr>
          <w:rFonts w:ascii="Arial" w:eastAsia="Arial" w:hAnsi="Arial" w:cs="Arial"/>
          <w:i/>
        </w:rPr>
        <w:t>ción al respecto.</w:t>
      </w:r>
      <w:r>
        <w:rPr>
          <w:rFonts w:ascii="Times New Roman" w:eastAsia="Times New Roman" w:hAnsi="Times New Roman" w:cs="Times New Roman"/>
          <w:sz w:val="24"/>
        </w:rPr>
        <w:t xml:space="preserve"> </w:t>
      </w:r>
    </w:p>
    <w:p w:rsidR="00FA7413" w:rsidRDefault="00D712A8">
      <w:pPr>
        <w:numPr>
          <w:ilvl w:val="0"/>
          <w:numId w:val="23"/>
        </w:numPr>
        <w:spacing w:after="156" w:line="247" w:lineRule="auto"/>
        <w:ind w:right="62" w:firstLine="360"/>
        <w:jc w:val="both"/>
      </w:pPr>
      <w:r>
        <w:rPr>
          <w:rFonts w:ascii="Arial" w:eastAsia="Arial" w:hAnsi="Arial" w:cs="Arial"/>
          <w:i/>
        </w:rPr>
        <w:t>El importe de las actuaciones objeto de encomienda se determinará atendiendo a costes reales, tanto directos como indirectos, necesarios para su realización, aplicando a las unidades ejecutadas las tarifas que estuviesen aprobadas, o, en su defecto, los pr</w:t>
      </w:r>
      <w:r>
        <w:rPr>
          <w:rFonts w:ascii="Arial" w:eastAsia="Arial" w:hAnsi="Arial" w:cs="Arial"/>
          <w:i/>
        </w:rPr>
        <w:t>ecios que figuren en el presupuesto de ejecución previsto en la encomienda.</w:t>
      </w:r>
      <w:r>
        <w:rPr>
          <w:rFonts w:ascii="Times New Roman" w:eastAsia="Times New Roman" w:hAnsi="Times New Roman" w:cs="Times New Roman"/>
          <w:sz w:val="24"/>
        </w:rPr>
        <w:t xml:space="preserve"> </w:t>
      </w:r>
    </w:p>
    <w:p w:rsidR="00FA7413" w:rsidRDefault="00D712A8">
      <w:pPr>
        <w:numPr>
          <w:ilvl w:val="0"/>
          <w:numId w:val="23"/>
        </w:numPr>
        <w:spacing w:after="157" w:line="247" w:lineRule="auto"/>
        <w:ind w:right="62" w:firstLine="360"/>
        <w:jc w:val="both"/>
      </w:pPr>
      <w:r>
        <w:rPr>
          <w:rFonts w:ascii="Arial" w:eastAsia="Arial" w:hAnsi="Arial" w:cs="Arial"/>
          <w:i/>
        </w:rPr>
        <w:t>En el caso de cofinanciarse con fondos europeos, se deberá hacer constar dicha circunstancia en la encomienda, así como la obligatoriedad de cumplimiento de la normativa europea a</w:t>
      </w:r>
      <w:r>
        <w:rPr>
          <w:rFonts w:ascii="Arial" w:eastAsia="Arial" w:hAnsi="Arial" w:cs="Arial"/>
          <w:i/>
        </w:rPr>
        <w:t>fectada.</w:t>
      </w:r>
      <w:r>
        <w:rPr>
          <w:rFonts w:ascii="Times New Roman" w:eastAsia="Times New Roman" w:hAnsi="Times New Roman" w:cs="Times New Roman"/>
          <w:sz w:val="24"/>
        </w:rPr>
        <w:t xml:space="preserve"> </w:t>
      </w:r>
    </w:p>
    <w:p w:rsidR="00FA7413" w:rsidRDefault="00D712A8">
      <w:pPr>
        <w:numPr>
          <w:ilvl w:val="0"/>
          <w:numId w:val="23"/>
        </w:numPr>
        <w:spacing w:after="154" w:line="247" w:lineRule="auto"/>
        <w:ind w:right="62" w:firstLine="360"/>
        <w:jc w:val="both"/>
      </w:pPr>
      <w:r>
        <w:rPr>
          <w:rFonts w:ascii="Arial" w:eastAsia="Arial" w:hAnsi="Arial" w:cs="Arial"/>
          <w:i/>
        </w:rPr>
        <w:t>Cuando en el ejercicio del control financiero o de auditoría pública, la Intervención General de la Administración Pública de la Comunidad Autónoma de Canarias detectase el abono a la entidad encomendada de cantidades que excedan de los gastos, d</w:t>
      </w:r>
      <w:r>
        <w:rPr>
          <w:rFonts w:ascii="Arial" w:eastAsia="Arial" w:hAnsi="Arial" w:cs="Arial"/>
          <w:i/>
        </w:rPr>
        <w:t>irectos e indirectos, del encargo realizado, o no se hubiera cumplido con el objeto del encargo, ésta emitirá un informe dirigido al órgano que realizó la encomienda para que proceda al inicio del oportuno expediente de reintegro o manifieste la discrepanc</w:t>
      </w:r>
      <w:r>
        <w:rPr>
          <w:rFonts w:ascii="Arial" w:eastAsia="Arial" w:hAnsi="Arial" w:cs="Arial"/>
          <w:i/>
        </w:rPr>
        <w:t>ia con su incoación.</w:t>
      </w:r>
      <w:r>
        <w:rPr>
          <w:rFonts w:ascii="Times New Roman" w:eastAsia="Times New Roman" w:hAnsi="Times New Roman" w:cs="Times New Roman"/>
          <w:sz w:val="24"/>
        </w:rPr>
        <w:t xml:space="preserve"> </w:t>
      </w:r>
    </w:p>
    <w:p w:rsidR="00FA7413" w:rsidRDefault="00D712A8">
      <w:pPr>
        <w:numPr>
          <w:ilvl w:val="0"/>
          <w:numId w:val="23"/>
        </w:numPr>
        <w:spacing w:after="154" w:line="247" w:lineRule="auto"/>
        <w:ind w:right="62" w:firstLine="360"/>
        <w:jc w:val="both"/>
      </w:pPr>
      <w:r>
        <w:rPr>
          <w:rFonts w:ascii="Arial" w:eastAsia="Arial" w:hAnsi="Arial" w:cs="Arial"/>
          <w:i/>
        </w:rPr>
        <w:t xml:space="preserve">El procedimiento de reintegro se regirá por las disposiciones generales sobre procedimientos administrativos contenidas en el título VI de la Ley 30/1992, de 26 de noviembre, de Régimen Jurídico de las Administraciones Públicas y del </w:t>
      </w:r>
      <w:r>
        <w:rPr>
          <w:rFonts w:ascii="Arial" w:eastAsia="Arial" w:hAnsi="Arial" w:cs="Arial"/>
          <w:i/>
        </w:rPr>
        <w:t>Procedimiento Administrativo Común.</w:t>
      </w:r>
      <w:r>
        <w:rPr>
          <w:rFonts w:ascii="Times New Roman" w:eastAsia="Times New Roman" w:hAnsi="Times New Roman" w:cs="Times New Roman"/>
          <w:sz w:val="24"/>
        </w:rPr>
        <w:t xml:space="preserve"> </w:t>
      </w:r>
    </w:p>
    <w:p w:rsidR="00FA7413" w:rsidRDefault="00D712A8">
      <w:pPr>
        <w:numPr>
          <w:ilvl w:val="0"/>
          <w:numId w:val="23"/>
        </w:numPr>
        <w:spacing w:after="146" w:line="247" w:lineRule="auto"/>
        <w:ind w:right="62" w:firstLine="360"/>
        <w:jc w:val="both"/>
      </w:pPr>
      <w:r>
        <w:rPr>
          <w:noProof/>
        </w:rPr>
        <mc:AlternateContent>
          <mc:Choice Requires="wpg">
            <w:drawing>
              <wp:anchor distT="0" distB="0" distL="114300" distR="114300" simplePos="0" relativeHeight="251769856"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4943" name="Group 214943"/>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2681" name="Rectangle 12681"/>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2682" name="Rectangle 12682"/>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108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4943" style="width:12.7031pt;height:275.586pt;position:absolute;mso-position-horizontal-relative:page;mso-position-horizontal:absolute;margin-left:682.278pt;mso-position-vertical-relative:page;margin-top:536.334pt;" coordsize="1613,34999">
                <v:rect id="Rectangle 12681"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2682"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108 de 180 </w:t>
                        </w:r>
                      </w:p>
                    </w:txbxContent>
                  </v:textbox>
                </v:rect>
                <w10:wrap type="square"/>
              </v:group>
            </w:pict>
          </mc:Fallback>
        </mc:AlternateContent>
      </w:r>
      <w:r>
        <w:rPr>
          <w:rFonts w:ascii="Arial" w:eastAsia="Arial" w:hAnsi="Arial" w:cs="Arial"/>
          <w:i/>
        </w:rPr>
        <w:t>Las cantidades a rein</w:t>
      </w:r>
      <w:r>
        <w:rPr>
          <w:rFonts w:ascii="Arial" w:eastAsia="Arial" w:hAnsi="Arial" w:cs="Arial"/>
          <w:i/>
        </w:rPr>
        <w:t>tegrar tendrán la consideración de ingresos de Derecho Público, siéndoles aplicables las normas sobre recaudación contenidas en la legislación tributaria.”</w:t>
      </w:r>
      <w:r>
        <w:rPr>
          <w:rFonts w:ascii="Times New Roman" w:eastAsia="Times New Roman" w:hAnsi="Times New Roman" w:cs="Times New Roman"/>
          <w:sz w:val="24"/>
        </w:rPr>
        <w:t xml:space="preserve"> </w:t>
      </w:r>
    </w:p>
    <w:p w:rsidR="00FA7413" w:rsidRDefault="00D712A8">
      <w:pPr>
        <w:spacing w:after="0"/>
        <w:ind w:left="360"/>
      </w:pPr>
      <w:r>
        <w:rPr>
          <w:rFonts w:ascii="Arial" w:eastAsia="Arial" w:hAnsi="Arial" w:cs="Arial"/>
          <w:i/>
        </w:rPr>
        <w:t xml:space="preserve"> </w:t>
      </w:r>
    </w:p>
    <w:p w:rsidR="00FA7413" w:rsidRDefault="00D712A8">
      <w:pPr>
        <w:spacing w:after="0"/>
        <w:ind w:left="360"/>
      </w:pPr>
      <w:r>
        <w:rPr>
          <w:rFonts w:ascii="Arial" w:eastAsia="Arial" w:hAnsi="Arial" w:cs="Arial"/>
          <w:i/>
        </w:rPr>
        <w:t xml:space="preserve"> </w:t>
      </w:r>
    </w:p>
    <w:p w:rsidR="00FA7413" w:rsidRDefault="00D712A8">
      <w:pPr>
        <w:spacing w:after="0"/>
        <w:ind w:left="1013" w:hanging="10"/>
        <w:jc w:val="center"/>
      </w:pPr>
      <w:r>
        <w:rPr>
          <w:rFonts w:ascii="Arial" w:eastAsia="Arial" w:hAnsi="Arial" w:cs="Arial"/>
          <w:i/>
        </w:rPr>
        <w:t xml:space="preserve">SEGUNDO </w:t>
      </w:r>
    </w:p>
    <w:p w:rsidR="00FA7413" w:rsidRDefault="00D712A8">
      <w:pPr>
        <w:spacing w:after="0"/>
        <w:ind w:left="1066"/>
        <w:jc w:val="center"/>
      </w:pPr>
      <w:r>
        <w:rPr>
          <w:rFonts w:ascii="Arial" w:eastAsia="Arial" w:hAnsi="Arial" w:cs="Arial"/>
          <w:i/>
        </w:rPr>
        <w:t xml:space="preserve"> </w:t>
      </w:r>
    </w:p>
    <w:p w:rsidR="00FA7413" w:rsidRDefault="00D712A8">
      <w:pPr>
        <w:pBdr>
          <w:bottom w:val="single" w:sz="6" w:space="0" w:color="CCCCCC"/>
        </w:pBdr>
        <w:shd w:val="clear" w:color="auto" w:fill="F9F9F9"/>
        <w:spacing w:after="229" w:line="216" w:lineRule="auto"/>
        <w:ind w:left="355" w:right="58" w:hanging="10"/>
        <w:jc w:val="both"/>
      </w:pPr>
      <w:r>
        <w:rPr>
          <w:rFonts w:ascii="Arial" w:eastAsia="Arial" w:hAnsi="Arial" w:cs="Arial"/>
          <w:i/>
        </w:rPr>
        <w:t xml:space="preserve"> </w:t>
      </w:r>
      <w:r>
        <w:rPr>
          <w:rFonts w:ascii="Arial" w:eastAsia="Arial" w:hAnsi="Arial" w:cs="Arial"/>
          <w:i/>
        </w:rPr>
        <w:t>Ley 9/2017, de 8 de noviembre, de Contratos del Sector Público, por la que se transponen al ordenamiento jurídico español las Directivas del Parlamento Europeo y del Consejo 2014/23/UE y 2014/24/UE, de 26 de febrero de 2014.</w:t>
      </w:r>
      <w:r>
        <w:rPr>
          <w:sz w:val="26"/>
        </w:rPr>
        <w:t xml:space="preserve"> </w:t>
      </w:r>
    </w:p>
    <w:p w:rsidR="00FA7413" w:rsidRDefault="00D712A8">
      <w:pPr>
        <w:spacing w:after="100"/>
        <w:ind w:left="360"/>
      </w:pPr>
      <w:r>
        <w:rPr>
          <w:rFonts w:ascii="Arial" w:eastAsia="Arial" w:hAnsi="Arial" w:cs="Arial"/>
          <w:i/>
        </w:rPr>
        <w:t xml:space="preserve"> </w:t>
      </w:r>
    </w:p>
    <w:p w:rsidR="00FA7413" w:rsidRDefault="00D712A8">
      <w:pPr>
        <w:spacing w:after="174" w:line="247" w:lineRule="auto"/>
        <w:ind w:left="1426" w:right="62" w:hanging="360"/>
        <w:jc w:val="both"/>
      </w:pPr>
      <w:r>
        <w:rPr>
          <w:rFonts w:ascii="Arial" w:eastAsia="Arial" w:hAnsi="Arial" w:cs="Arial"/>
          <w:i/>
        </w:rPr>
        <w:t>B) Art. 32.4-Encargos de los</w:t>
      </w:r>
      <w:r>
        <w:rPr>
          <w:rFonts w:ascii="Arial" w:eastAsia="Arial" w:hAnsi="Arial" w:cs="Arial"/>
          <w:i/>
        </w:rPr>
        <w:t xml:space="preserve"> poderes adjudicadores a medios propios personificados, que dice: </w:t>
      </w:r>
    </w:p>
    <w:p w:rsidR="00FA7413" w:rsidRDefault="00D712A8">
      <w:pPr>
        <w:spacing w:after="337" w:line="247" w:lineRule="auto"/>
        <w:ind w:left="345" w:right="62" w:firstLine="360"/>
        <w:jc w:val="both"/>
      </w:pPr>
      <w:r>
        <w:rPr>
          <w:rFonts w:ascii="Arial" w:eastAsia="Arial" w:hAnsi="Arial" w:cs="Arial"/>
          <w:i/>
        </w:rPr>
        <w:t>“Tendrán la consideración de medio propio personificado respecto de dos o más poderes adjudicadores que sean independientes entre sí aquellas personas jurídicas, de derecho público o de der</w:t>
      </w:r>
      <w:r>
        <w:rPr>
          <w:rFonts w:ascii="Arial" w:eastAsia="Arial" w:hAnsi="Arial" w:cs="Arial"/>
          <w:i/>
        </w:rPr>
        <w:t>echo privado, que cumplan todos y cada uno de los requisitos que se establecen a continuación:</w:t>
      </w:r>
      <w:r>
        <w:rPr>
          <w:rFonts w:ascii="Times New Roman" w:eastAsia="Times New Roman" w:hAnsi="Times New Roman" w:cs="Times New Roman"/>
          <w:sz w:val="24"/>
        </w:rPr>
        <w:t xml:space="preserve"> </w:t>
      </w:r>
    </w:p>
    <w:p w:rsidR="00FA7413" w:rsidRDefault="00D712A8">
      <w:pPr>
        <w:spacing w:after="12" w:line="249" w:lineRule="auto"/>
        <w:ind w:left="10" w:right="61" w:hanging="10"/>
        <w:jc w:val="right"/>
      </w:pPr>
      <w:r>
        <w:rPr>
          <w:rFonts w:ascii="Arial" w:eastAsia="Arial" w:hAnsi="Arial" w:cs="Arial"/>
          <w:i/>
        </w:rPr>
        <w:t>a) Que los poderes adjudicadores que puedan conferirle encargos ejerzan sobre el ente desti-</w:t>
      </w:r>
    </w:p>
    <w:p w:rsidR="00FA7413" w:rsidRDefault="00D712A8">
      <w:pPr>
        <w:spacing w:after="172" w:line="247" w:lineRule="auto"/>
        <w:ind w:left="355" w:right="62" w:hanging="10"/>
        <w:jc w:val="both"/>
      </w:pPr>
      <w:r>
        <w:rPr>
          <w:rFonts w:ascii="Arial" w:eastAsia="Arial" w:hAnsi="Arial" w:cs="Arial"/>
          <w:i/>
        </w:rPr>
        <w:t>natario del mismo un control conjunto análogo al que ostentarían so</w:t>
      </w:r>
      <w:r>
        <w:rPr>
          <w:rFonts w:ascii="Arial" w:eastAsia="Arial" w:hAnsi="Arial" w:cs="Arial"/>
          <w:i/>
        </w:rPr>
        <w:t xml:space="preserve">bre sus propios servicios o unidades. </w:t>
      </w:r>
    </w:p>
    <w:p w:rsidR="00FA7413" w:rsidRDefault="00D712A8">
      <w:pPr>
        <w:spacing w:after="12" w:line="249" w:lineRule="auto"/>
        <w:ind w:left="10" w:right="61" w:hanging="10"/>
        <w:jc w:val="right"/>
      </w:pPr>
      <w:r>
        <w:rPr>
          <w:rFonts w:ascii="Arial" w:eastAsia="Arial" w:hAnsi="Arial" w:cs="Arial"/>
          <w:i/>
        </w:rPr>
        <w:t xml:space="preserve">Se entenderá que existe control conjunto cuando se cumplan todas las condiciones siguientes: </w:t>
      </w:r>
    </w:p>
    <w:p w:rsidR="00FA7413" w:rsidRDefault="00D712A8">
      <w:pPr>
        <w:spacing w:after="172" w:line="247" w:lineRule="auto"/>
        <w:ind w:left="345" w:right="62" w:firstLine="360"/>
        <w:jc w:val="both"/>
      </w:pPr>
      <w:r>
        <w:rPr>
          <w:rFonts w:ascii="Arial" w:eastAsia="Arial" w:hAnsi="Arial" w:cs="Arial"/>
          <w:i/>
        </w:rPr>
        <w:t>1.º Que en los órganos decisorios del ente destinatario del encargo estén representados todos los entes que puedan conferir</w:t>
      </w:r>
      <w:r>
        <w:rPr>
          <w:rFonts w:ascii="Arial" w:eastAsia="Arial" w:hAnsi="Arial" w:cs="Arial"/>
          <w:i/>
        </w:rPr>
        <w:t xml:space="preserve">le encargos, pudiendo cada representante representar a varios de estos últimos o a la totalidad de ellos. </w:t>
      </w:r>
    </w:p>
    <w:p w:rsidR="00FA7413" w:rsidRDefault="00D712A8">
      <w:pPr>
        <w:spacing w:after="171" w:line="247" w:lineRule="auto"/>
        <w:ind w:left="345" w:right="62" w:firstLine="360"/>
        <w:jc w:val="both"/>
      </w:pPr>
      <w:r>
        <w:rPr>
          <w:rFonts w:ascii="Arial" w:eastAsia="Arial" w:hAnsi="Arial" w:cs="Arial"/>
          <w:i/>
        </w:rPr>
        <w:t xml:space="preserve">2.º Que estos últimos puedan ejercer directa y conjuntamente una influencia decisiva sobre los objetivos estratégicos y sobre las decisiones significativas del ente destinatario del encargo. </w:t>
      </w:r>
    </w:p>
    <w:p w:rsidR="00FA7413" w:rsidRDefault="00D712A8">
      <w:pPr>
        <w:spacing w:after="351" w:line="247" w:lineRule="auto"/>
        <w:ind w:left="345" w:right="62" w:firstLine="360"/>
        <w:jc w:val="both"/>
      </w:pPr>
      <w:r>
        <w:rPr>
          <w:rFonts w:ascii="Arial" w:eastAsia="Arial" w:hAnsi="Arial" w:cs="Arial"/>
          <w:i/>
        </w:rPr>
        <w:t xml:space="preserve">3.º Que el ente destinatario del encargo no persiga intereses contrarios a los intereses de los entes que puedan conferirle encargos. </w:t>
      </w:r>
    </w:p>
    <w:p w:rsidR="00FA7413" w:rsidRDefault="00D712A8">
      <w:pPr>
        <w:spacing w:after="174" w:line="247" w:lineRule="auto"/>
        <w:ind w:left="345" w:right="62" w:firstLine="360"/>
        <w:jc w:val="both"/>
      </w:pPr>
      <w:r>
        <w:rPr>
          <w:rFonts w:ascii="Arial" w:eastAsia="Arial" w:hAnsi="Arial" w:cs="Arial"/>
          <w:i/>
        </w:rPr>
        <w:t>La compensación se establecerá, por referencia a tarifas aprobadas por la entidad pública de la que depende el medio prop</w:t>
      </w:r>
      <w:r>
        <w:rPr>
          <w:rFonts w:ascii="Arial" w:eastAsia="Arial" w:hAnsi="Arial" w:cs="Arial"/>
          <w:i/>
        </w:rPr>
        <w:t>io personificado para las actividades objeto de encargo realizadas por el medio propio directamente y, en la forma que reglamentariamente se determine, atendiendo al coste efectivo soportado por el medio propio para las actividades objeto del encargo que s</w:t>
      </w:r>
      <w:r>
        <w:rPr>
          <w:rFonts w:ascii="Arial" w:eastAsia="Arial" w:hAnsi="Arial" w:cs="Arial"/>
          <w:i/>
        </w:rPr>
        <w:t xml:space="preserve">e subcontraten con empresarios particulares en los casos en que este coste sea inferior al resultante de aplicar las tarifas a las actividades subcontratadas. </w:t>
      </w:r>
    </w:p>
    <w:p w:rsidR="00FA7413" w:rsidRDefault="00D712A8">
      <w:pPr>
        <w:spacing w:after="172" w:line="247" w:lineRule="auto"/>
        <w:ind w:left="345" w:right="62" w:firstLine="360"/>
        <w:jc w:val="both"/>
      </w:pPr>
      <w:r>
        <w:rPr>
          <w:rFonts w:ascii="Arial" w:eastAsia="Arial" w:hAnsi="Arial" w:cs="Arial"/>
          <w:i/>
        </w:rPr>
        <w:t>Dichas tarifas se calcularán de manera que representen los costes reales de realización de las u</w:t>
      </w:r>
      <w:r>
        <w:rPr>
          <w:rFonts w:ascii="Arial" w:eastAsia="Arial" w:hAnsi="Arial" w:cs="Arial"/>
          <w:i/>
        </w:rPr>
        <w:t xml:space="preserve">nidades producidas directamente por el medio propio. </w:t>
      </w:r>
    </w:p>
    <w:p w:rsidR="00FA7413" w:rsidRDefault="00D712A8">
      <w:pPr>
        <w:numPr>
          <w:ilvl w:val="0"/>
          <w:numId w:val="24"/>
        </w:numPr>
        <w:spacing w:after="176" w:line="247" w:lineRule="auto"/>
        <w:ind w:right="62" w:firstLine="360"/>
        <w:jc w:val="both"/>
      </w:pPr>
      <w:r>
        <w:rPr>
          <w:noProof/>
        </w:rPr>
        <mc:AlternateContent>
          <mc:Choice Requires="wpg">
            <w:drawing>
              <wp:anchor distT="0" distB="0" distL="114300" distR="114300" simplePos="0" relativeHeight="251770880"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4137" name="Group 214137"/>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2786" name="Rectangle 12786"/>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2787" name="Rectangle 12787"/>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109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4137" style="width:12.7031pt;height:275.586pt;position:absolute;mso-position-horizontal-relative:page;mso-position-horizontal:absolute;margin-left:682.278pt;mso-position-vertical-relative:page;margin-top:536.334pt;" coordsize="1613,34999">
                <v:rect id="Rectangle 12786"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2787"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109 de 180 </w:t>
                        </w:r>
                      </w:p>
                    </w:txbxContent>
                  </v:textbox>
                </v:rect>
                <w10:wrap type="square"/>
              </v:group>
            </w:pict>
          </mc:Fallback>
        </mc:AlternateContent>
      </w:r>
      <w:r>
        <w:rPr>
          <w:rFonts w:ascii="Arial" w:eastAsia="Arial" w:hAnsi="Arial" w:cs="Arial"/>
          <w:i/>
        </w:rPr>
        <w:t xml:space="preserve">Que </w:t>
      </w:r>
      <w:r>
        <w:rPr>
          <w:rFonts w:ascii="Arial" w:eastAsia="Arial" w:hAnsi="Arial" w:cs="Arial"/>
          <w:i/>
        </w:rPr>
        <w:t xml:space="preserve">más del 80 por ciento de las actividades del ente destinatario del encargo se lleven a cabo en el ejercicio de los cometidos que le han sido confiados por los poderes adjudicadores que lo controlan o por otras personas jurídicas controladas por los mismos </w:t>
      </w:r>
      <w:r>
        <w:rPr>
          <w:rFonts w:ascii="Arial" w:eastAsia="Arial" w:hAnsi="Arial" w:cs="Arial"/>
          <w:i/>
        </w:rPr>
        <w:t xml:space="preserve">poderes adjudicadores. El cálculo del 80 por ciento se hará de acuerdo con lo establecido en la letra b) del apartado 2 de este artículo. </w:t>
      </w:r>
    </w:p>
    <w:p w:rsidR="00FA7413" w:rsidRDefault="00D712A8">
      <w:pPr>
        <w:numPr>
          <w:ilvl w:val="0"/>
          <w:numId w:val="24"/>
        </w:numPr>
        <w:spacing w:after="350" w:line="247" w:lineRule="auto"/>
        <w:ind w:right="62" w:firstLine="360"/>
        <w:jc w:val="both"/>
      </w:pPr>
      <w:r>
        <w:rPr>
          <w:rFonts w:ascii="Arial" w:eastAsia="Arial" w:hAnsi="Arial" w:cs="Arial"/>
          <w:i/>
        </w:rPr>
        <w:t xml:space="preserve">Que cumplan los requisitos que establece este artículo en su apartado 2 letras c) y d).” </w:t>
      </w:r>
    </w:p>
    <w:p w:rsidR="00FA7413" w:rsidRDefault="00D712A8">
      <w:pPr>
        <w:spacing w:after="354" w:line="248" w:lineRule="auto"/>
        <w:ind w:left="355" w:right="62" w:hanging="10"/>
        <w:jc w:val="both"/>
      </w:pPr>
      <w:r>
        <w:rPr>
          <w:rFonts w:ascii="Arial" w:eastAsia="Arial" w:hAnsi="Arial" w:cs="Arial"/>
          <w:b/>
        </w:rPr>
        <w:t xml:space="preserve">B) Art. 32- </w:t>
      </w:r>
      <w:r>
        <w:rPr>
          <w:rFonts w:ascii="Arial" w:eastAsia="Arial" w:hAnsi="Arial" w:cs="Arial"/>
          <w:b/>
        </w:rPr>
        <w:t xml:space="preserve">Encargos de los poderes adjudicadores a medios propios personificados- apartado 2, letras c) y d). </w:t>
      </w:r>
    </w:p>
    <w:p w:rsidR="00FA7413" w:rsidRDefault="00D712A8">
      <w:pPr>
        <w:spacing w:after="155" w:line="248" w:lineRule="auto"/>
        <w:ind w:left="355" w:right="62" w:hanging="10"/>
        <w:jc w:val="both"/>
      </w:pPr>
      <w:r>
        <w:rPr>
          <w:rFonts w:ascii="Arial" w:eastAsia="Arial" w:hAnsi="Arial" w:cs="Arial"/>
          <w:b/>
        </w:rPr>
        <w:t xml:space="preserve"> “2. Tendrán la consideración de medio propio personificado respecto de una única entidad concreta del sector público aquellas personas jurídicas, de derech</w:t>
      </w:r>
      <w:r>
        <w:rPr>
          <w:rFonts w:ascii="Arial" w:eastAsia="Arial" w:hAnsi="Arial" w:cs="Arial"/>
          <w:b/>
        </w:rPr>
        <w:t>o público o de derecho privado, que cumplan todos y cada uno de los requisitos que se establecen a continuación:</w:t>
      </w:r>
      <w:r>
        <w:rPr>
          <w:color w:val="2E74B5"/>
          <w:sz w:val="24"/>
        </w:rPr>
        <w:t xml:space="preserve"> </w:t>
      </w:r>
    </w:p>
    <w:p w:rsidR="00FA7413" w:rsidRDefault="00D712A8">
      <w:pPr>
        <w:numPr>
          <w:ilvl w:val="0"/>
          <w:numId w:val="25"/>
        </w:numPr>
        <w:spacing w:after="12" w:line="249" w:lineRule="auto"/>
        <w:ind w:right="61" w:firstLine="360"/>
        <w:jc w:val="both"/>
      </w:pPr>
      <w:r>
        <w:rPr>
          <w:rFonts w:ascii="Arial" w:eastAsia="Arial" w:hAnsi="Arial" w:cs="Arial"/>
          <w:i/>
        </w:rPr>
        <w:t xml:space="preserve">Cuando el ente destinatario del encargo sea un ente de personificación jurídico-privada, </w:t>
      </w:r>
    </w:p>
    <w:p w:rsidR="00FA7413" w:rsidRDefault="00D712A8">
      <w:pPr>
        <w:spacing w:after="149" w:line="247" w:lineRule="auto"/>
        <w:ind w:left="355" w:right="62" w:hanging="10"/>
        <w:jc w:val="both"/>
      </w:pPr>
      <w:r>
        <w:rPr>
          <w:rFonts w:ascii="Arial" w:eastAsia="Arial" w:hAnsi="Arial" w:cs="Arial"/>
          <w:i/>
        </w:rPr>
        <w:t>además, la totalidad de su capital o patrimonio tend</w:t>
      </w:r>
      <w:r>
        <w:rPr>
          <w:rFonts w:ascii="Arial" w:eastAsia="Arial" w:hAnsi="Arial" w:cs="Arial"/>
          <w:i/>
        </w:rPr>
        <w:t>rá que ser de titularidad o aportación pública.</w:t>
      </w:r>
      <w:r>
        <w:rPr>
          <w:rFonts w:ascii="Times New Roman" w:eastAsia="Times New Roman" w:hAnsi="Times New Roman" w:cs="Times New Roman"/>
          <w:sz w:val="24"/>
        </w:rPr>
        <w:t xml:space="preserve"> </w:t>
      </w:r>
    </w:p>
    <w:p w:rsidR="00FA7413" w:rsidRDefault="00D712A8">
      <w:pPr>
        <w:numPr>
          <w:ilvl w:val="0"/>
          <w:numId w:val="25"/>
        </w:numPr>
        <w:spacing w:after="352" w:line="247" w:lineRule="auto"/>
        <w:ind w:right="61" w:firstLine="360"/>
        <w:jc w:val="both"/>
      </w:pPr>
      <w:r>
        <w:rPr>
          <w:rFonts w:ascii="Arial" w:eastAsia="Arial" w:hAnsi="Arial" w:cs="Arial"/>
          <w:i/>
        </w:rPr>
        <w:t>La condición de medio propio personificado de la entidad destinataria del encargo respecto del concreto poder adjudicador que hace el encargo deberá reconocerse expresamente en sus estatutos o actos de creac</w:t>
      </w:r>
      <w:r>
        <w:rPr>
          <w:rFonts w:ascii="Arial" w:eastAsia="Arial" w:hAnsi="Arial" w:cs="Arial"/>
          <w:i/>
        </w:rPr>
        <w:t xml:space="preserve">ión, previo cumplimiento de los siguientes requisitos: </w:t>
      </w:r>
    </w:p>
    <w:p w:rsidR="00FA7413" w:rsidRDefault="00D712A8">
      <w:pPr>
        <w:spacing w:after="172" w:line="247" w:lineRule="auto"/>
        <w:ind w:left="345" w:right="62" w:firstLine="360"/>
        <w:jc w:val="both"/>
      </w:pPr>
      <w:r>
        <w:rPr>
          <w:rFonts w:ascii="Arial" w:eastAsia="Arial" w:hAnsi="Arial" w:cs="Arial"/>
          <w:i/>
        </w:rPr>
        <w:t xml:space="preserve">1.º Conformidad o autorización expresa del poder adjudicador respecto del que vaya a ser medio propio. </w:t>
      </w:r>
    </w:p>
    <w:p w:rsidR="00FA7413" w:rsidRDefault="00D712A8">
      <w:pPr>
        <w:spacing w:after="3" w:line="241" w:lineRule="auto"/>
        <w:ind w:left="345" w:firstLine="360"/>
      </w:pPr>
      <w:r>
        <w:rPr>
          <w:rFonts w:ascii="Arial" w:eastAsia="Arial" w:hAnsi="Arial" w:cs="Arial"/>
          <w:i/>
        </w:rPr>
        <w:t>2.º Verificación por la entidad pública de que dependa el ente que vaya a ser medio propio, de q</w:t>
      </w:r>
      <w:r>
        <w:rPr>
          <w:rFonts w:ascii="Arial" w:eastAsia="Arial" w:hAnsi="Arial" w:cs="Arial"/>
          <w:i/>
        </w:rPr>
        <w:t xml:space="preserve">ue cuenta con medios personales y materiales apropiados para la realización de los encargos de conformidad con su objeto social. </w:t>
      </w:r>
    </w:p>
    <w:p w:rsidR="00FA7413" w:rsidRDefault="00D712A8">
      <w:pPr>
        <w:spacing w:after="174" w:line="247" w:lineRule="auto"/>
        <w:ind w:left="345" w:right="62" w:firstLine="360"/>
        <w:jc w:val="both"/>
      </w:pPr>
      <w:r>
        <w:rPr>
          <w:rFonts w:ascii="Arial" w:eastAsia="Arial" w:hAnsi="Arial" w:cs="Arial"/>
          <w:i/>
        </w:rPr>
        <w:t>Los estatutos o acto de creación del ente destinatario del encargo deberá determinar: el poder adjudicador respecto del cual t</w:t>
      </w:r>
      <w:r>
        <w:rPr>
          <w:rFonts w:ascii="Arial" w:eastAsia="Arial" w:hAnsi="Arial" w:cs="Arial"/>
          <w:i/>
        </w:rPr>
        <w:t>iene esa condición; precisar el régimen jurídico y administrativo de los encargos que se les puedan conferir; y establecer la imposibilidad de que participen en licitaciones públicas convocadas por el poder adjudicador del que sean medio propio personifica</w:t>
      </w:r>
      <w:r>
        <w:rPr>
          <w:rFonts w:ascii="Arial" w:eastAsia="Arial" w:hAnsi="Arial" w:cs="Arial"/>
          <w:i/>
        </w:rPr>
        <w:t xml:space="preserve">do, sin perjuicio de que, cuando no concurra ningún licitador, pueda encargárseles la ejecución de la prestación objeto de las mismas. </w:t>
      </w:r>
    </w:p>
    <w:p w:rsidR="00FA7413" w:rsidRDefault="00D712A8">
      <w:pPr>
        <w:spacing w:after="169" w:line="247" w:lineRule="auto"/>
        <w:ind w:left="345" w:right="62" w:firstLine="360"/>
        <w:jc w:val="both"/>
      </w:pPr>
      <w:r>
        <w:rPr>
          <w:rFonts w:ascii="Arial" w:eastAsia="Arial" w:hAnsi="Arial" w:cs="Arial"/>
          <w:i/>
        </w:rPr>
        <w:t xml:space="preserve">En todo caso, se presumirá que cumple el requisito establecido en el número 2.º de la presente letra cuando haya obtenido la correspondiente clasificación respecto a los grupos, subgrupos y categorías que ostente.” </w:t>
      </w:r>
    </w:p>
    <w:p w:rsidR="00FA7413" w:rsidRDefault="00D712A8">
      <w:pPr>
        <w:spacing w:after="158"/>
        <w:ind w:left="1013" w:right="360" w:hanging="10"/>
        <w:jc w:val="center"/>
      </w:pPr>
      <w:r>
        <w:rPr>
          <w:rFonts w:ascii="Arial" w:eastAsia="Arial" w:hAnsi="Arial" w:cs="Arial"/>
          <w:i/>
        </w:rPr>
        <w:t xml:space="preserve">TERCERO </w:t>
      </w:r>
    </w:p>
    <w:p w:rsidR="00FA7413" w:rsidRDefault="00D712A8">
      <w:pPr>
        <w:pBdr>
          <w:bottom w:val="single" w:sz="6" w:space="0" w:color="CCCCCC"/>
        </w:pBdr>
        <w:shd w:val="clear" w:color="auto" w:fill="F9F9F9"/>
        <w:tabs>
          <w:tab w:val="center" w:pos="4572"/>
        </w:tabs>
        <w:spacing w:after="229" w:line="216" w:lineRule="auto"/>
        <w:ind w:left="345" w:right="58"/>
        <w:jc w:val="both"/>
      </w:pPr>
      <w:r>
        <w:rPr>
          <w:rFonts w:ascii="Arial" w:eastAsia="Arial" w:hAnsi="Arial" w:cs="Arial"/>
          <w:i/>
        </w:rPr>
        <w:t xml:space="preserve"> </w:t>
      </w:r>
      <w:r>
        <w:rPr>
          <w:rFonts w:ascii="Arial" w:eastAsia="Arial" w:hAnsi="Arial" w:cs="Arial"/>
          <w:i/>
        </w:rPr>
        <w:tab/>
        <w:t xml:space="preserve"> Ley 7/1985, de 2 de abril, R</w:t>
      </w:r>
      <w:r>
        <w:rPr>
          <w:rFonts w:ascii="Arial" w:eastAsia="Arial" w:hAnsi="Arial" w:cs="Arial"/>
          <w:i/>
        </w:rPr>
        <w:t xml:space="preserve">eguladora de las Bases del Régimen Local. </w:t>
      </w:r>
      <w:r>
        <w:rPr>
          <w:sz w:val="26"/>
        </w:rPr>
        <w:t xml:space="preserve"> </w:t>
      </w:r>
    </w:p>
    <w:p w:rsidR="00FA7413" w:rsidRDefault="00D712A8">
      <w:pPr>
        <w:spacing w:after="0"/>
        <w:ind w:left="1068"/>
      </w:pPr>
      <w:r>
        <w:rPr>
          <w:rFonts w:ascii="Arial" w:eastAsia="Arial" w:hAnsi="Arial" w:cs="Arial"/>
          <w:i/>
        </w:rPr>
        <w:t xml:space="preserve"> </w:t>
      </w:r>
    </w:p>
    <w:p w:rsidR="00FA7413" w:rsidRDefault="00D712A8">
      <w:pPr>
        <w:spacing w:after="351" w:line="247" w:lineRule="auto"/>
        <w:ind w:left="345" w:right="62" w:firstLine="708"/>
        <w:jc w:val="both"/>
      </w:pPr>
      <w:r>
        <w:rPr>
          <w:rFonts w:ascii="Arial" w:eastAsia="Arial" w:hAnsi="Arial" w:cs="Arial"/>
          <w:i/>
        </w:rPr>
        <w:t xml:space="preserve">Son de aplicación los dos artículos siguientes en cuanto a la competencia del órgano municipal para la aprobación del presente expediente.     </w:t>
      </w:r>
    </w:p>
    <w:p w:rsidR="00FA7413" w:rsidRDefault="00D712A8">
      <w:pPr>
        <w:spacing w:after="172" w:line="247" w:lineRule="auto"/>
        <w:ind w:left="355" w:right="62" w:hanging="10"/>
        <w:jc w:val="both"/>
      </w:pPr>
      <w:r>
        <w:rPr>
          <w:rFonts w:ascii="Arial" w:eastAsia="Arial" w:hAnsi="Arial" w:cs="Arial"/>
          <w:i/>
        </w:rPr>
        <w:t xml:space="preserve">Artículo 47.2.H) </w:t>
      </w:r>
    </w:p>
    <w:p w:rsidR="00FA7413" w:rsidRDefault="00D712A8">
      <w:pPr>
        <w:spacing w:after="352" w:line="247" w:lineRule="auto"/>
        <w:ind w:left="345" w:right="62" w:firstLine="360"/>
        <w:jc w:val="both"/>
      </w:pPr>
      <w:r>
        <w:rPr>
          <w:noProof/>
        </w:rPr>
        <mc:AlternateContent>
          <mc:Choice Requires="wpg">
            <w:drawing>
              <wp:anchor distT="0" distB="0" distL="114300" distR="114300" simplePos="0" relativeHeight="251771904"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4504" name="Group 214504"/>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2879" name="Rectangle 12879"/>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w:t>
                              </w: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880" name="Rectangle 12880"/>
                        <wps:cNvSpPr/>
                        <wps:spPr>
                          <a:xfrm rot="-5399999">
                            <a:off x="-2094822" y="1215694"/>
                            <a:ext cx="44552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110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4504" style="width:12.7031pt;height:275.586pt;position:absolute;mso-position-horizontal-relative:page;mso-position-horizontal:absolute;margin-left:682.278pt;mso-position-vertical-relative:page;margin-top:536.334pt;" coordsize="1613,34999">
                <v:rect id="Rectangle 12879"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2880" style="position:absolute;width:44552;height:1132;left:-20948;top:1215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110 de 180 </w:t>
                        </w:r>
                      </w:p>
                    </w:txbxContent>
                  </v:textbox>
                </v:rect>
                <w10:wrap type="square"/>
              </v:group>
            </w:pict>
          </mc:Fallback>
        </mc:AlternateContent>
      </w:r>
      <w:r>
        <w:rPr>
          <w:rFonts w:ascii="Arial" w:eastAsia="Arial" w:hAnsi="Arial" w:cs="Arial"/>
          <w:i/>
        </w:rPr>
        <w:t xml:space="preserve">“h) Transferencia de funciones o actividades a otras Administraciones públicas, así como la aceptación de las delegaciones o encomiendas de gestión realizadas por otras administraciones, salvo que por ley se impongan obligatoriamente. </w:t>
      </w:r>
    </w:p>
    <w:p w:rsidR="00FA7413" w:rsidRDefault="00D712A8">
      <w:pPr>
        <w:spacing w:after="171" w:line="248" w:lineRule="auto"/>
        <w:ind w:left="355" w:right="62" w:hanging="10"/>
        <w:jc w:val="both"/>
      </w:pPr>
      <w:r>
        <w:rPr>
          <w:rFonts w:ascii="Arial" w:eastAsia="Arial" w:hAnsi="Arial" w:cs="Arial"/>
          <w:b/>
        </w:rPr>
        <w:t>Artículo 22.2 p) y 4</w:t>
      </w:r>
      <w:r>
        <w:rPr>
          <w:rFonts w:ascii="Arial" w:eastAsia="Arial" w:hAnsi="Arial" w:cs="Arial"/>
          <w:b/>
        </w:rPr>
        <w:t xml:space="preserve">. </w:t>
      </w:r>
    </w:p>
    <w:p w:rsidR="00FA7413" w:rsidRDefault="00D712A8">
      <w:pPr>
        <w:spacing w:after="171" w:line="247" w:lineRule="auto"/>
        <w:ind w:left="345" w:right="62" w:firstLine="360"/>
        <w:jc w:val="both"/>
      </w:pPr>
      <w:r>
        <w:rPr>
          <w:rFonts w:ascii="Arial" w:eastAsia="Arial" w:hAnsi="Arial" w:cs="Arial"/>
          <w:i/>
        </w:rPr>
        <w:t xml:space="preserve">“2. Corresponden, en todo caso, al Pleno municipal en los Ayuntamientos, y a la Asamblea vecinal en el régimen de Concejo Abierto, las siguientes atribuciones: </w:t>
      </w:r>
    </w:p>
    <w:p w:rsidR="00FA7413" w:rsidRDefault="00D712A8">
      <w:pPr>
        <w:spacing w:after="174" w:line="247" w:lineRule="auto"/>
        <w:ind w:left="345" w:right="62" w:firstLine="360"/>
        <w:jc w:val="both"/>
      </w:pPr>
      <w:r>
        <w:rPr>
          <w:rFonts w:ascii="Arial" w:eastAsia="Arial" w:hAnsi="Arial" w:cs="Arial"/>
          <w:i/>
        </w:rPr>
        <w:t>p) Aquellas otras que deban corresponder al Pleno por exigir su aprobación una mayoría espec</w:t>
      </w:r>
      <w:r>
        <w:rPr>
          <w:rFonts w:ascii="Arial" w:eastAsia="Arial" w:hAnsi="Arial" w:cs="Arial"/>
          <w:i/>
        </w:rPr>
        <w:t xml:space="preserve">ial. </w:t>
      </w:r>
    </w:p>
    <w:p w:rsidR="00FA7413" w:rsidRDefault="00D712A8">
      <w:pPr>
        <w:spacing w:after="158"/>
        <w:ind w:left="720"/>
      </w:pPr>
      <w:r>
        <w:rPr>
          <w:rFonts w:ascii="Arial" w:eastAsia="Arial" w:hAnsi="Arial" w:cs="Arial"/>
          <w:i/>
        </w:rPr>
        <w:t xml:space="preserve"> </w:t>
      </w:r>
    </w:p>
    <w:p w:rsidR="00FA7413" w:rsidRDefault="00D712A8">
      <w:pPr>
        <w:ind w:left="720"/>
      </w:pPr>
      <w:r>
        <w:rPr>
          <w:rFonts w:ascii="Arial" w:eastAsia="Arial" w:hAnsi="Arial" w:cs="Arial"/>
          <w:i/>
        </w:rPr>
        <w:t xml:space="preserve"> </w:t>
      </w:r>
    </w:p>
    <w:p w:rsidR="00FA7413" w:rsidRDefault="00D712A8">
      <w:pPr>
        <w:spacing w:after="169" w:line="247" w:lineRule="auto"/>
        <w:ind w:left="345" w:right="62" w:firstLine="360"/>
        <w:jc w:val="both"/>
      </w:pPr>
      <w:r>
        <w:rPr>
          <w:rFonts w:ascii="Arial" w:eastAsia="Arial" w:hAnsi="Arial" w:cs="Arial"/>
          <w:i/>
        </w:rPr>
        <w:t xml:space="preserve">4. El Pleno puede delegar el ejercicio de sus atribuciones en el Alcalde y en la Junta de Gobierno Local, salvo las enunciadas en el apartado 2, párrafos a), b), c), d), e), f), g), h), i), l) y p), y en el apartado 3 de este artículo.” </w:t>
      </w:r>
    </w:p>
    <w:p w:rsidR="00FA7413" w:rsidRDefault="00D712A8">
      <w:pPr>
        <w:spacing w:after="98"/>
        <w:ind w:left="360"/>
      </w:pPr>
      <w:r>
        <w:rPr>
          <w:rFonts w:ascii="Arial" w:eastAsia="Arial" w:hAnsi="Arial" w:cs="Arial"/>
          <w:i/>
        </w:rPr>
        <w:t xml:space="preserve"> </w:t>
      </w:r>
    </w:p>
    <w:p w:rsidR="00FA7413" w:rsidRDefault="00D712A8">
      <w:pPr>
        <w:spacing w:after="100"/>
        <w:ind w:left="1426"/>
      </w:pPr>
      <w:r>
        <w:rPr>
          <w:rFonts w:ascii="Arial" w:eastAsia="Arial" w:hAnsi="Arial" w:cs="Arial"/>
          <w:i/>
        </w:rPr>
        <w:t xml:space="preserve">   </w:t>
      </w:r>
    </w:p>
    <w:p w:rsidR="00FA7413" w:rsidRDefault="00D712A8">
      <w:pPr>
        <w:spacing w:after="112" w:line="247" w:lineRule="auto"/>
        <w:ind w:left="345" w:right="62" w:firstLine="708"/>
        <w:jc w:val="both"/>
      </w:pPr>
      <w:r>
        <w:rPr>
          <w:rFonts w:ascii="Arial" w:eastAsia="Arial" w:hAnsi="Arial" w:cs="Arial"/>
          <w:i/>
        </w:rPr>
        <w:t xml:space="preserve">En base a los antecedentes de hecho y fundamentos de Derecho expuestos, se emite la siguiente, </w:t>
      </w:r>
    </w:p>
    <w:p w:rsidR="00FA7413" w:rsidRDefault="00D712A8">
      <w:pPr>
        <w:spacing w:after="98"/>
        <w:ind w:left="1056"/>
        <w:jc w:val="center"/>
      </w:pPr>
      <w:r>
        <w:rPr>
          <w:rFonts w:ascii="Arial" w:eastAsia="Arial" w:hAnsi="Arial" w:cs="Arial"/>
          <w:i/>
        </w:rPr>
        <w:t xml:space="preserve"> </w:t>
      </w:r>
    </w:p>
    <w:p w:rsidR="00FA7413" w:rsidRDefault="00D712A8">
      <w:pPr>
        <w:spacing w:after="98"/>
        <w:ind w:left="1056"/>
        <w:jc w:val="center"/>
      </w:pPr>
      <w:r>
        <w:rPr>
          <w:rFonts w:ascii="Arial" w:eastAsia="Arial" w:hAnsi="Arial" w:cs="Arial"/>
          <w:i/>
        </w:rPr>
        <w:t xml:space="preserve"> </w:t>
      </w:r>
    </w:p>
    <w:p w:rsidR="00FA7413" w:rsidRDefault="00D712A8">
      <w:pPr>
        <w:spacing w:after="0"/>
        <w:ind w:left="1056"/>
        <w:jc w:val="center"/>
      </w:pPr>
      <w:r>
        <w:rPr>
          <w:rFonts w:ascii="Arial" w:eastAsia="Arial" w:hAnsi="Arial" w:cs="Arial"/>
          <w:i/>
        </w:rPr>
        <w:t xml:space="preserve"> </w:t>
      </w:r>
    </w:p>
    <w:p w:rsidR="00FA7413" w:rsidRDefault="00D712A8">
      <w:pPr>
        <w:spacing w:after="100"/>
        <w:ind w:left="1013" w:right="9" w:hanging="10"/>
        <w:jc w:val="center"/>
      </w:pPr>
      <w:r>
        <w:rPr>
          <w:rFonts w:ascii="Arial" w:eastAsia="Arial" w:hAnsi="Arial" w:cs="Arial"/>
          <w:i/>
        </w:rPr>
        <w:t xml:space="preserve">PROPUESTA DE RESOLUCIÓN: </w:t>
      </w:r>
    </w:p>
    <w:p w:rsidR="00FA7413" w:rsidRDefault="00D712A8">
      <w:pPr>
        <w:spacing w:after="98"/>
        <w:ind w:left="1056"/>
        <w:jc w:val="center"/>
      </w:pPr>
      <w:r>
        <w:rPr>
          <w:rFonts w:ascii="Arial" w:eastAsia="Arial" w:hAnsi="Arial" w:cs="Arial"/>
          <w:i/>
        </w:rPr>
        <w:t xml:space="preserve"> </w:t>
      </w:r>
    </w:p>
    <w:p w:rsidR="00FA7413" w:rsidRDefault="00D712A8">
      <w:pPr>
        <w:spacing w:after="0" w:line="247" w:lineRule="auto"/>
        <w:ind w:left="345" w:right="62" w:firstLine="708"/>
        <w:jc w:val="both"/>
      </w:pPr>
      <w:r>
        <w:rPr>
          <w:rFonts w:ascii="Arial" w:eastAsia="Arial" w:hAnsi="Arial" w:cs="Arial"/>
          <w:i/>
        </w:rPr>
        <w:t xml:space="preserve">1º.- </w:t>
      </w:r>
      <w:r>
        <w:rPr>
          <w:rFonts w:ascii="Arial" w:eastAsia="Arial" w:hAnsi="Arial" w:cs="Arial"/>
          <w:i/>
        </w:rPr>
        <w:t>Otorgar la conformidad expresa de esta Corporación a la declaración de la entidad “Gestión y Planeamiento Territorial y Medioambiental, SA (GESPLAN), adscrita a la Consejería de Transición Ecológica, Lucha contra el Cambio Climático y Planificación Territo</w:t>
      </w:r>
      <w:r>
        <w:rPr>
          <w:rFonts w:ascii="Arial" w:eastAsia="Arial" w:hAnsi="Arial" w:cs="Arial"/>
          <w:i/>
        </w:rPr>
        <w:t xml:space="preserve">rial del Gobierno de Canarias, como medio personificado del mismo, a los efectos dispuestos en el artículo 32.2 de la Ley 4/2012, de 25 de junio, de medidas administrativas y fiscales, en relación con el art. 32.4 de la LCSP.      </w:t>
      </w:r>
      <w:r>
        <w:rPr>
          <w:rFonts w:ascii="Times New Roman" w:eastAsia="Times New Roman" w:hAnsi="Times New Roman" w:cs="Times New Roman"/>
          <w:sz w:val="24"/>
        </w:rPr>
        <w:t xml:space="preserve"> </w: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spacing w:after="0" w:line="247" w:lineRule="auto"/>
        <w:ind w:left="345" w:right="62" w:firstLine="708"/>
        <w:jc w:val="both"/>
      </w:pPr>
      <w:r>
        <w:rPr>
          <w:rFonts w:ascii="Arial" w:eastAsia="Arial" w:hAnsi="Arial" w:cs="Arial"/>
          <w:i/>
        </w:rPr>
        <w:t>2º.- Solicitar formal</w:t>
      </w:r>
      <w:r>
        <w:rPr>
          <w:rFonts w:ascii="Arial" w:eastAsia="Arial" w:hAnsi="Arial" w:cs="Arial"/>
          <w:i/>
        </w:rPr>
        <w:t>mente de la  Consejería de Transición Ecológica, Lucha contra el Cambio Climático y Planificación Territorial  del Gobierno de Canarias, a la que se encuentra adscrita la entidad “GESPLAN,SA ”, que inicie el procedimiento de modificación estatutaria para q</w:t>
      </w:r>
      <w:r>
        <w:rPr>
          <w:rFonts w:ascii="Arial" w:eastAsia="Arial" w:hAnsi="Arial" w:cs="Arial"/>
          <w:i/>
        </w:rPr>
        <w:t>ue la segunda pueda ser declarada medio propio personificado y destinataria, por tanto de los encargos que este Ayuntamiento le pueda conferir, en los estrictos términos regulados en el acuerdo adoptado por el Gobierno de Canarias, en sesión de fecha 26 de</w:t>
      </w:r>
      <w:r>
        <w:rPr>
          <w:rFonts w:ascii="Arial" w:eastAsia="Arial" w:hAnsi="Arial" w:cs="Arial"/>
          <w:i/>
        </w:rPr>
        <w:t xml:space="preserve"> marzo de 2018, y en coherencia con la regulación establecida en el art. 32.4 de la LCSP.</w:t>
      </w:r>
      <w:r>
        <w:rPr>
          <w:rFonts w:ascii="Times New Roman" w:eastAsia="Times New Roman" w:hAnsi="Times New Roman" w:cs="Times New Roman"/>
          <w:sz w:val="24"/>
        </w:rPr>
        <w:t xml:space="preserve"> </w:t>
      </w:r>
    </w:p>
    <w:p w:rsidR="00FA7413" w:rsidRDefault="00D712A8">
      <w:pPr>
        <w:spacing w:after="0"/>
        <w:ind w:left="1068"/>
      </w:pPr>
      <w:r>
        <w:rPr>
          <w:rFonts w:ascii="Arial" w:eastAsia="Arial" w:hAnsi="Arial" w:cs="Arial"/>
          <w:i/>
        </w:rPr>
        <w:t xml:space="preserve"> </w:t>
      </w:r>
    </w:p>
    <w:p w:rsidR="00FA7413" w:rsidRDefault="00D712A8">
      <w:pPr>
        <w:spacing w:after="0" w:line="247" w:lineRule="auto"/>
        <w:ind w:left="345" w:right="62" w:firstLine="708"/>
        <w:jc w:val="both"/>
      </w:pPr>
      <w:r>
        <w:rPr>
          <w:noProof/>
        </w:rPr>
        <mc:AlternateContent>
          <mc:Choice Requires="wpg">
            <w:drawing>
              <wp:anchor distT="0" distB="0" distL="114300" distR="114300" simplePos="0" relativeHeight="251772928"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4370" name="Group 214370"/>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2995" name="Rectangle 12995"/>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2996" name="Rectangle 12996"/>
                        <wps:cNvSpPr/>
                        <wps:spPr>
                          <a:xfrm rot="-5399999">
                            <a:off x="-2091074" y="1219444"/>
                            <a:ext cx="4447773" cy="113224"/>
                          </a:xfrm>
                          <a:prstGeom prst="rect">
                            <a:avLst/>
                          </a:prstGeom>
                          <a:ln>
                            <a:noFill/>
                          </a:ln>
                        </wps:spPr>
                        <wps:txbx>
                          <w:txbxContent>
                            <w:p w:rsidR="00FA7413" w:rsidRDefault="00D712A8">
                              <w:r>
                                <w:rPr>
                                  <w:rFonts w:ascii="Arial" w:eastAsia="Arial" w:hAnsi="Arial" w:cs="Arial"/>
                                  <w:sz w:val="12"/>
                                </w:rPr>
                                <w:t>Documento firmado electrónicamente desde la plataforma esPub</w:t>
                              </w:r>
                              <w:r>
                                <w:rPr>
                                  <w:rFonts w:ascii="Arial" w:eastAsia="Arial" w:hAnsi="Arial" w:cs="Arial"/>
                                  <w:sz w:val="12"/>
                                </w:rPr>
                                <w:t xml:space="preserve">lico Gestiona | Página 111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4370" style="width:12.7031pt;height:275.586pt;position:absolute;mso-position-horizontal-relative:page;mso-position-horizontal:absolute;margin-left:682.278pt;mso-position-vertical-relative:page;margin-top:536.334pt;" coordsize="1613,34999">
                <v:rect id="Rectangle 12995"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2996" style="position:absolute;width:44477;height:1132;left:-20910;top:12194;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111 de 180 </w:t>
                        </w:r>
                      </w:p>
                    </w:txbxContent>
                  </v:textbox>
                </v:rect>
                <w10:wrap type="square"/>
              </v:group>
            </w:pict>
          </mc:Fallback>
        </mc:AlternateContent>
      </w:r>
      <w:r>
        <w:rPr>
          <w:rFonts w:ascii="Arial" w:eastAsia="Arial" w:hAnsi="Arial" w:cs="Arial"/>
          <w:i/>
        </w:rPr>
        <w:t>3º.- Solicitar formalmente de la Consejería de Transición Ecológica, Lucha contra el Cambio Climático y Planificación Territorial  del Gobierno de Canarias, a la que se encuentra adscrita la entidad “GESPLAN,SA”, que se t</w:t>
      </w:r>
      <w:r>
        <w:rPr>
          <w:rFonts w:ascii="Arial" w:eastAsia="Arial" w:hAnsi="Arial" w:cs="Arial"/>
          <w:i/>
        </w:rPr>
        <w:t>enga por designada como vocal único en el Consejo de Administración de la misma, como representante de la totalidad de los municipios, a la representante designada por la Federación Canaria de Municipios, Dña. María Concepción Brito Núñez, Alcaldes-Preside</w:t>
      </w:r>
      <w:r>
        <w:rPr>
          <w:rFonts w:ascii="Arial" w:eastAsia="Arial" w:hAnsi="Arial" w:cs="Arial"/>
          <w:i/>
        </w:rPr>
        <w:t xml:space="preserve">nta del Ayuntamiento de Candelaria, o en su caso, a la persona que lo sustituya, según acuerdo adoptado por la FECAM. o en su caso, a la persona que lo sustituya, según acuerdo adoptado por la FECAM. </w:t>
      </w:r>
    </w:p>
    <w:p w:rsidR="00FA7413" w:rsidRDefault="00D712A8">
      <w:pPr>
        <w:spacing w:after="0"/>
        <w:ind w:left="1068"/>
      </w:pPr>
      <w:r>
        <w:rPr>
          <w:rFonts w:ascii="Arial" w:eastAsia="Arial" w:hAnsi="Arial" w:cs="Arial"/>
          <w:i/>
        </w:rPr>
        <w:t xml:space="preserve"> </w:t>
      </w:r>
    </w:p>
    <w:p w:rsidR="00FA7413" w:rsidRDefault="00D712A8">
      <w:pPr>
        <w:spacing w:after="0" w:line="247" w:lineRule="auto"/>
        <w:ind w:left="345" w:right="62" w:firstLine="708"/>
        <w:jc w:val="both"/>
      </w:pPr>
      <w:r>
        <w:rPr>
          <w:rFonts w:ascii="Arial" w:eastAsia="Arial" w:hAnsi="Arial" w:cs="Arial"/>
          <w:i/>
        </w:rPr>
        <w:t>4º.-  Facultar a la Alcaldesa para la firma de los do</w:t>
      </w:r>
      <w:r>
        <w:rPr>
          <w:rFonts w:ascii="Arial" w:eastAsia="Arial" w:hAnsi="Arial" w:cs="Arial"/>
          <w:i/>
        </w:rPr>
        <w:t xml:space="preserve">cumentos necesarios de declaración de la entidad “GESPLAN, SA”, adscrita a la Consejería de Transición Ecológica, Lucha contra el Cambio Climático y Planificación Territorial del Gobierno de Canarias, como medio propio personificado del mismo. </w:t>
      </w:r>
    </w:p>
    <w:p w:rsidR="00FA7413" w:rsidRDefault="00D712A8">
      <w:pPr>
        <w:spacing w:after="0"/>
        <w:ind w:left="1068"/>
      </w:pPr>
      <w:r>
        <w:rPr>
          <w:rFonts w:ascii="Arial" w:eastAsia="Arial" w:hAnsi="Arial" w:cs="Arial"/>
          <w:i/>
        </w:rPr>
        <w:t xml:space="preserve"> </w:t>
      </w:r>
    </w:p>
    <w:p w:rsidR="00FA7413" w:rsidRDefault="00D712A8">
      <w:pPr>
        <w:spacing w:after="19" w:line="247" w:lineRule="auto"/>
        <w:ind w:left="345" w:right="62" w:firstLine="708"/>
        <w:jc w:val="both"/>
      </w:pPr>
      <w:r>
        <w:rPr>
          <w:rFonts w:ascii="Arial" w:eastAsia="Arial" w:hAnsi="Arial" w:cs="Arial"/>
          <w:i/>
        </w:rPr>
        <w:t xml:space="preserve">5º.- </w:t>
      </w:r>
      <w:r>
        <w:rPr>
          <w:rFonts w:ascii="Arial" w:eastAsia="Arial" w:hAnsi="Arial" w:cs="Arial"/>
          <w:i/>
        </w:rPr>
        <w:t xml:space="preserve">Dar traslado del presente acuerdo a la Consejería de Transición Ecológica, Lucha contra el Cambio Climático y Planificación Territorial del Gobierno de Canarias, a la FECAM y a la entidad </w:t>
      </w:r>
    </w:p>
    <w:p w:rsidR="00FA7413" w:rsidRDefault="00D712A8">
      <w:pPr>
        <w:spacing w:after="112" w:line="247" w:lineRule="auto"/>
        <w:ind w:left="355" w:right="62" w:hanging="10"/>
        <w:jc w:val="both"/>
      </w:pPr>
      <w:r>
        <w:rPr>
          <w:rFonts w:ascii="Arial" w:eastAsia="Arial" w:hAnsi="Arial" w:cs="Arial"/>
          <w:i/>
        </w:rPr>
        <w:t xml:space="preserve">GESPLAN, SA, a los efectos oportunos.” </w:t>
      </w:r>
    </w:p>
    <w:p w:rsidR="00FA7413" w:rsidRDefault="00D712A8">
      <w:pPr>
        <w:tabs>
          <w:tab w:val="center" w:pos="360"/>
          <w:tab w:val="center" w:pos="3863"/>
        </w:tabs>
        <w:spacing w:after="109" w:line="248" w:lineRule="auto"/>
      </w:pPr>
      <w:r>
        <w:tab/>
      </w:r>
      <w:r>
        <w:rPr>
          <w:rFonts w:ascii="Arial" w:eastAsia="Arial" w:hAnsi="Arial" w:cs="Arial"/>
        </w:rPr>
        <w:t xml:space="preserve"> </w:t>
      </w:r>
      <w:r>
        <w:rPr>
          <w:rFonts w:ascii="Arial" w:eastAsia="Arial" w:hAnsi="Arial" w:cs="Arial"/>
        </w:rPr>
        <w:tab/>
        <w:t>En virtud de lo expuesto</w:t>
      </w:r>
      <w:r>
        <w:rPr>
          <w:rFonts w:ascii="Arial" w:eastAsia="Arial" w:hAnsi="Arial" w:cs="Arial"/>
        </w:rPr>
        <w:t xml:space="preserve">, se somete al Pleno la siguiente: </w:t>
      </w:r>
    </w:p>
    <w:p w:rsidR="00FA7413" w:rsidRDefault="00D712A8">
      <w:pPr>
        <w:spacing w:after="100"/>
        <w:ind w:left="360"/>
      </w:pPr>
      <w:r>
        <w:rPr>
          <w:rFonts w:ascii="Arial" w:eastAsia="Arial" w:hAnsi="Arial" w:cs="Arial"/>
        </w:rPr>
        <w:t xml:space="preserve"> </w:t>
      </w:r>
    </w:p>
    <w:p w:rsidR="00FA7413" w:rsidRDefault="00D712A8">
      <w:pPr>
        <w:spacing w:after="98"/>
        <w:ind w:left="360"/>
      </w:pPr>
      <w:r>
        <w:rPr>
          <w:rFonts w:ascii="Arial" w:eastAsia="Arial" w:hAnsi="Arial" w:cs="Arial"/>
        </w:rPr>
        <w:t xml:space="preserve"> </w:t>
      </w:r>
    </w:p>
    <w:p w:rsidR="00FA7413" w:rsidRDefault="00D712A8">
      <w:pPr>
        <w:spacing w:after="95"/>
        <w:ind w:left="360"/>
      </w:pPr>
      <w:r>
        <w:rPr>
          <w:rFonts w:ascii="Arial" w:eastAsia="Arial" w:hAnsi="Arial" w:cs="Arial"/>
        </w:rPr>
        <w:t xml:space="preserve"> </w:t>
      </w:r>
    </w:p>
    <w:p w:rsidR="00FA7413" w:rsidRDefault="00D712A8">
      <w:pPr>
        <w:pStyle w:val="Ttulo1"/>
        <w:ind w:left="1013" w:right="718"/>
      </w:pPr>
      <w:r>
        <w:t xml:space="preserve">Propuesta de Acuerdo </w:t>
      </w:r>
    </w:p>
    <w:p w:rsidR="00FA7413" w:rsidRDefault="00D712A8">
      <w:pPr>
        <w:spacing w:after="0" w:line="248" w:lineRule="auto"/>
        <w:ind w:left="345" w:right="64" w:firstLine="708"/>
        <w:jc w:val="both"/>
      </w:pPr>
      <w:r>
        <w:rPr>
          <w:rFonts w:ascii="Arial" w:eastAsia="Arial" w:hAnsi="Arial" w:cs="Arial"/>
        </w:rPr>
        <w:t xml:space="preserve"> 1º.- Otorgar la conformidad expresa de esta Corporación a la declaración de la entidad “Gestión y Planeamiento Territorial y Medioambiental, SA (GESPLAN), adscrita a la Consejería de Transici</w:t>
      </w:r>
      <w:r>
        <w:rPr>
          <w:rFonts w:ascii="Arial" w:eastAsia="Arial" w:hAnsi="Arial" w:cs="Arial"/>
        </w:rPr>
        <w:t>ón Ecológica, Lucha contra el Cambio Climático y Planificación Territorial del Gobierno de Canarias, como medio personificado del mismo, a los efectos dispuestos en el artículo 32.2 de la Ley 4/2012, de 25 de junio, de medidas administrativas y fiscales, e</w:t>
      </w:r>
      <w:r>
        <w:rPr>
          <w:rFonts w:ascii="Arial" w:eastAsia="Arial" w:hAnsi="Arial" w:cs="Arial"/>
        </w:rPr>
        <w:t xml:space="preserve">n relación con el art. 32.4 de la LCSP.      </w:t>
      </w:r>
      <w:r>
        <w:rPr>
          <w:rFonts w:ascii="Times New Roman" w:eastAsia="Times New Roman" w:hAnsi="Times New Roman" w:cs="Times New Roman"/>
          <w:sz w:val="24"/>
        </w:rPr>
        <w:t xml:space="preserve"> </w: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spacing w:after="0" w:line="248" w:lineRule="auto"/>
        <w:ind w:left="345" w:right="64" w:firstLine="708"/>
        <w:jc w:val="both"/>
      </w:pPr>
      <w:r>
        <w:rPr>
          <w:rFonts w:ascii="Arial" w:eastAsia="Arial" w:hAnsi="Arial" w:cs="Arial"/>
        </w:rPr>
        <w:t>2º.- Solicitar formalmente de la  Consejería de Transición Ecológica, Lucha contra el Cambio Climático y Planificación Territorial  del Gobierno de Canarias, a la que se encuentra adscrita la entidad “GESPLA</w:t>
      </w:r>
      <w:r>
        <w:rPr>
          <w:rFonts w:ascii="Arial" w:eastAsia="Arial" w:hAnsi="Arial" w:cs="Arial"/>
        </w:rPr>
        <w:t xml:space="preserve">N,SA ”, que inicie el procedimiento de modificación estatutaria para que la segunda pueda ser declarada medio propio personificado y destinataria, por tanto de los encargos que este Ayuntamiento le pueda conferir, en los estrictos términos regulados en el </w:t>
      </w:r>
      <w:r>
        <w:rPr>
          <w:rFonts w:ascii="Arial" w:eastAsia="Arial" w:hAnsi="Arial" w:cs="Arial"/>
        </w:rPr>
        <w:t>acuerdo adoptado por el Gobierno de Canarias, en sesión de fecha 26 de marzo de 2018, y en coherencia con la regulación establecida en el art. 32.4 de la LCSP.</w:t>
      </w:r>
      <w:r>
        <w:rPr>
          <w:rFonts w:ascii="Times New Roman" w:eastAsia="Times New Roman" w:hAnsi="Times New Roman" w:cs="Times New Roman"/>
          <w:sz w:val="24"/>
        </w:rPr>
        <w:t xml:space="preserve"> </w:t>
      </w:r>
    </w:p>
    <w:p w:rsidR="00FA7413" w:rsidRDefault="00D712A8">
      <w:pPr>
        <w:spacing w:after="0"/>
        <w:ind w:left="1068"/>
      </w:pPr>
      <w:r>
        <w:rPr>
          <w:rFonts w:ascii="Arial" w:eastAsia="Arial" w:hAnsi="Arial" w:cs="Arial"/>
        </w:rPr>
        <w:t xml:space="preserve"> </w:t>
      </w:r>
    </w:p>
    <w:p w:rsidR="00FA7413" w:rsidRDefault="00D712A8">
      <w:pPr>
        <w:spacing w:after="0" w:line="248" w:lineRule="auto"/>
        <w:ind w:left="345" w:right="64" w:firstLine="708"/>
        <w:jc w:val="both"/>
      </w:pPr>
      <w:r>
        <w:rPr>
          <w:rFonts w:ascii="Arial" w:eastAsia="Arial" w:hAnsi="Arial" w:cs="Arial"/>
        </w:rPr>
        <w:t>3º.- Solicitar formalmente de la Consejería de Transición Ecológica, Lucha contra el Cambio C</w:t>
      </w:r>
      <w:r>
        <w:rPr>
          <w:rFonts w:ascii="Arial" w:eastAsia="Arial" w:hAnsi="Arial" w:cs="Arial"/>
        </w:rPr>
        <w:t>limático y Planificación Territorial  del Gobierno de Canarias, a la que se encuentra adscrita la entidad “GESPLAN,SA”, que se tenga por designada como vocal único en el Consejo de Administración de la misma, como representante de la totalidad de los munic</w:t>
      </w:r>
      <w:r>
        <w:rPr>
          <w:rFonts w:ascii="Arial" w:eastAsia="Arial" w:hAnsi="Arial" w:cs="Arial"/>
        </w:rPr>
        <w:t>ipios, a la representante designada por la Federación Canaria de Municipios, Dña. María Concepción Brito Núñez, Alcaldes-Presidenta del Ayuntamiento de Candelaria, o en su caso, a la persona que lo sustituya, según acuerdo adoptado por la FECAM. o en su ca</w:t>
      </w:r>
      <w:r>
        <w:rPr>
          <w:rFonts w:ascii="Arial" w:eastAsia="Arial" w:hAnsi="Arial" w:cs="Arial"/>
        </w:rPr>
        <w:t xml:space="preserve">so, a la persona que lo sustituya, según acuerdo adoptado por la FECAM. </w:t>
      </w:r>
    </w:p>
    <w:p w:rsidR="00FA7413" w:rsidRDefault="00D712A8">
      <w:pPr>
        <w:spacing w:after="0"/>
        <w:ind w:left="1068"/>
      </w:pPr>
      <w:r>
        <w:rPr>
          <w:rFonts w:ascii="Arial" w:eastAsia="Arial" w:hAnsi="Arial" w:cs="Arial"/>
        </w:rPr>
        <w:t xml:space="preserve"> </w:t>
      </w:r>
    </w:p>
    <w:p w:rsidR="00FA7413" w:rsidRDefault="00D712A8">
      <w:pPr>
        <w:spacing w:after="0" w:line="248" w:lineRule="auto"/>
        <w:ind w:left="345" w:right="64" w:firstLine="708"/>
        <w:jc w:val="both"/>
      </w:pPr>
      <w:r>
        <w:rPr>
          <w:rFonts w:ascii="Arial" w:eastAsia="Arial" w:hAnsi="Arial" w:cs="Arial"/>
        </w:rPr>
        <w:t>4º.-  Facultar a la Alcaldesa para la firma de los documentos necesarios de declaración de la entidad “GESPLAN, SA”, adscrita a la Consejería de Transición Ecológica, Lucha contra e</w:t>
      </w:r>
      <w:r>
        <w:rPr>
          <w:rFonts w:ascii="Arial" w:eastAsia="Arial" w:hAnsi="Arial" w:cs="Arial"/>
        </w:rPr>
        <w:t xml:space="preserve">l Cambio Climático y Planificación Territorial del Gobierno de Canarias, como medio propio personificado del mismo. </w:t>
      </w:r>
    </w:p>
    <w:p w:rsidR="00FA7413" w:rsidRDefault="00D712A8">
      <w:pPr>
        <w:spacing w:after="0"/>
        <w:ind w:left="1068"/>
      </w:pPr>
      <w:r>
        <w:rPr>
          <w:noProof/>
        </w:rPr>
        <mc:AlternateContent>
          <mc:Choice Requires="wpg">
            <w:drawing>
              <wp:anchor distT="0" distB="0" distL="114300" distR="114300" simplePos="0" relativeHeight="251773952"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4452" name="Group 214452"/>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3120" name="Rectangle 13120"/>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3121" name="Rectangle 13121"/>
                        <wps:cNvSpPr/>
                        <wps:spPr>
                          <a:xfrm rot="-5399999">
                            <a:off x="-2094822" y="1215694"/>
                            <a:ext cx="44552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112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4452" style="width:12.7031pt;height:275.586pt;position:absolute;mso-position-horizontal-relative:page;mso-position-horizontal:absolute;margin-left:682.278pt;mso-position-vertical-relative:page;margin-top:536.334pt;" coordsize="1613,34999">
                <v:rect id="Rectangle 13120"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3121" style="position:absolute;width:44552;height:1132;left:-20948;top:1215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112 de 180 </w:t>
                        </w:r>
                      </w:p>
                    </w:txbxContent>
                  </v:textbox>
                </v:rect>
                <w10:wrap type="square"/>
              </v:group>
            </w:pict>
          </mc:Fallback>
        </mc:AlternateContent>
      </w:r>
      <w:r>
        <w:rPr>
          <w:rFonts w:ascii="Arial" w:eastAsia="Arial" w:hAnsi="Arial" w:cs="Arial"/>
        </w:rPr>
        <w:t xml:space="preserve"> </w:t>
      </w:r>
    </w:p>
    <w:p w:rsidR="00FA7413" w:rsidRDefault="00D712A8">
      <w:pPr>
        <w:spacing w:after="109" w:line="248" w:lineRule="auto"/>
        <w:ind w:left="345" w:right="64" w:firstLine="708"/>
        <w:jc w:val="both"/>
      </w:pPr>
      <w:r>
        <w:rPr>
          <w:rFonts w:ascii="Arial" w:eastAsia="Arial" w:hAnsi="Arial" w:cs="Arial"/>
        </w:rPr>
        <w:t>5º.- Dar traslado del presente acuerdo a la Consejería de Transición Ecológica, Lucha contra el Cambio Climático y Planificación Territorial del Gobierno de Ca</w:t>
      </w:r>
      <w:r>
        <w:rPr>
          <w:rFonts w:ascii="Arial" w:eastAsia="Arial" w:hAnsi="Arial" w:cs="Arial"/>
        </w:rPr>
        <w:t xml:space="preserve">narias, a la FECAM y a la entidad GESPLAN, SA, a los efectos oportunos.” </w:t>
      </w:r>
    </w:p>
    <w:p w:rsidR="00FA7413" w:rsidRDefault="00D712A8">
      <w:pPr>
        <w:spacing w:after="0"/>
        <w:ind w:left="360"/>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 xml:space="preserve">DICTAMEN FAVORABLE DE LA COMISIÓN INFORMATIVA DE P.G. URBANÍSTICA Y AMBIENTAL, OBRAS y SERVICIOS PÚBLICOS DE 21 DE JUNIO DE 2021.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2" w:hanging="10"/>
        <w:jc w:val="both"/>
      </w:pPr>
      <w:r>
        <w:rPr>
          <w:rFonts w:ascii="Arial" w:eastAsia="Arial" w:hAnsi="Arial" w:cs="Arial"/>
          <w:b/>
        </w:rPr>
        <w:t xml:space="preserve">Votos a favor: </w:t>
      </w:r>
      <w:r>
        <w:rPr>
          <w:rFonts w:ascii="Arial" w:eastAsia="Arial" w:hAnsi="Arial" w:cs="Arial"/>
        </w:rPr>
        <w:t>4.</w:t>
      </w:r>
      <w:r>
        <w:rPr>
          <w:rFonts w:ascii="Times New Roman" w:eastAsia="Times New Roman" w:hAnsi="Times New Roman" w:cs="Times New Roman"/>
          <w:sz w:val="24"/>
        </w:rPr>
        <w:t xml:space="preserve"> </w:t>
      </w:r>
    </w:p>
    <w:p w:rsidR="00FA7413" w:rsidRDefault="00D712A8">
      <w:pPr>
        <w:spacing w:after="0" w:line="248" w:lineRule="auto"/>
        <w:ind w:left="355" w:right="64" w:hanging="10"/>
        <w:jc w:val="both"/>
      </w:pPr>
      <w:r>
        <w:rPr>
          <w:rFonts w:ascii="Arial" w:eastAsia="Arial" w:hAnsi="Arial" w:cs="Arial"/>
        </w:rPr>
        <w:t>Los 4 concejales de</w:t>
      </w:r>
      <w:r>
        <w:rPr>
          <w:rFonts w:ascii="Arial" w:eastAsia="Arial" w:hAnsi="Arial" w:cs="Arial"/>
        </w:rPr>
        <w:t xml:space="preserve">l Grupo Socialista: Doña Hilaria Cecilia Otazo González, Don José Francisco Pinto Ramos, Doña María del Carmen Clemente Díaz y Don Olegario Francisco Alonso Bello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355" w:right="62" w:hanging="10"/>
        <w:jc w:val="both"/>
      </w:pPr>
      <w:r>
        <w:rPr>
          <w:rFonts w:ascii="Arial" w:eastAsia="Arial" w:hAnsi="Arial" w:cs="Arial"/>
          <w:b/>
        </w:rPr>
        <w:t xml:space="preserve">Votos en contra: </w:t>
      </w:r>
      <w:r>
        <w:rPr>
          <w:rFonts w:ascii="Arial" w:eastAsia="Arial" w:hAnsi="Arial" w:cs="Arial"/>
        </w:rPr>
        <w:t>0.</w:t>
      </w:r>
      <w:r>
        <w:rPr>
          <w:rFonts w:ascii="Times New Roman" w:eastAsia="Times New Roman" w:hAnsi="Times New Roman" w:cs="Times New Roman"/>
          <w:sz w:val="24"/>
        </w:rPr>
        <w:t xml:space="preserve">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355" w:right="62" w:hanging="10"/>
        <w:jc w:val="both"/>
      </w:pPr>
      <w:r>
        <w:rPr>
          <w:rFonts w:ascii="Arial" w:eastAsia="Arial" w:hAnsi="Arial" w:cs="Arial"/>
          <w:b/>
        </w:rPr>
        <w:t xml:space="preserve">Abstenciones: </w:t>
      </w:r>
      <w:r>
        <w:rPr>
          <w:rFonts w:ascii="Arial" w:eastAsia="Arial" w:hAnsi="Arial" w:cs="Arial"/>
        </w:rPr>
        <w:t>3.</w:t>
      </w:r>
      <w:r>
        <w:rPr>
          <w:rFonts w:ascii="Times New Roman" w:eastAsia="Times New Roman" w:hAnsi="Times New Roman" w:cs="Times New Roman"/>
          <w:sz w:val="24"/>
        </w:rPr>
        <w:t xml:space="preserve"> </w:t>
      </w:r>
    </w:p>
    <w:p w:rsidR="00FA7413" w:rsidRDefault="00D712A8">
      <w:pPr>
        <w:spacing w:after="11" w:line="248" w:lineRule="auto"/>
        <w:ind w:left="355" w:right="64" w:hanging="10"/>
        <w:jc w:val="both"/>
      </w:pPr>
      <w:r>
        <w:rPr>
          <w:rFonts w:ascii="Arial" w:eastAsia="Arial" w:hAnsi="Arial" w:cs="Arial"/>
        </w:rPr>
        <w:t xml:space="preserve">La  concejal del Grupo Popular, Doña Raquel Martín Castro.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 xml:space="preserve">Las 2 concejalas del Grupo Mixto: Doña Lourdes del Carmen Mondéjar Rondón (SSP) y Doña Ángela Cruz Perera (CC).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3516" w:hanging="10"/>
        <w:jc w:val="both"/>
      </w:pPr>
      <w:r>
        <w:rPr>
          <w:rFonts w:ascii="Arial" w:eastAsia="Arial" w:hAnsi="Arial" w:cs="Arial"/>
          <w:b/>
        </w:rPr>
        <w:t xml:space="preserve">JUNTA DE PORTAVOCES DE 21 DE JUNIO DE 2021  </w:t>
      </w:r>
      <w:r>
        <w:rPr>
          <w:rFonts w:ascii="Arial" w:eastAsia="Arial" w:hAnsi="Arial" w:cs="Arial"/>
        </w:rPr>
        <w:t xml:space="preserve">Quedó oída.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355" w:right="62" w:hanging="10"/>
        <w:jc w:val="both"/>
      </w:pPr>
      <w:r>
        <w:rPr>
          <w:rFonts w:ascii="Arial" w:eastAsia="Arial" w:hAnsi="Arial" w:cs="Arial"/>
          <w:b/>
        </w:rPr>
        <w:t>VOTACIÓN EN EL PLEN</w:t>
      </w:r>
      <w:r>
        <w:rPr>
          <w:rFonts w:ascii="Arial" w:eastAsia="Arial" w:hAnsi="Arial" w:cs="Arial"/>
          <w:b/>
        </w:rPr>
        <w:t xml:space="preserve">O DE  24 DE JUNIO DE 2021.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355" w:right="64" w:hanging="10"/>
        <w:jc w:val="both"/>
      </w:pPr>
      <w:r>
        <w:rPr>
          <w:rFonts w:ascii="Arial" w:eastAsia="Arial" w:hAnsi="Arial" w:cs="Arial"/>
        </w:rPr>
        <w:t xml:space="preserve">Votos a favor: 16. </w:t>
      </w:r>
    </w:p>
    <w:p w:rsidR="00FA7413" w:rsidRDefault="00D712A8">
      <w:pPr>
        <w:spacing w:after="109" w:line="248" w:lineRule="auto"/>
        <w:ind w:left="345" w:right="64" w:firstLine="708"/>
        <w:jc w:val="both"/>
      </w:pPr>
      <w:r>
        <w:rPr>
          <w:rFonts w:ascii="Arial" w:eastAsia="Arial" w:hAnsi="Arial" w:cs="Arial"/>
        </w:rPr>
        <w:t>11 concejales del Grupo Socialista: Doña María Concepción Brito Núñez, Don Jorge Baute Delgado, Doña Olivia Concepción Pérez Díaz, Don José Francisco Pinto Ramos, Doña Hilaria Cecilia Otazo González, Don Ai</w:t>
      </w:r>
      <w:r>
        <w:rPr>
          <w:rFonts w:ascii="Arial" w:eastAsia="Arial" w:hAnsi="Arial" w:cs="Arial"/>
        </w:rPr>
        <w:t xml:space="preserve">ram Pérez Chinea, Doña Margarita Eva Tendero Barroso, Don Manuel Alberto González Pestano, Doña María del Carmen Clemente Díaz, Don Olegario Francisco Alonso Bello y Don Reinaldo José Triviño Blanco. </w:t>
      </w:r>
    </w:p>
    <w:p w:rsidR="00FA7413" w:rsidRDefault="00D712A8">
      <w:pPr>
        <w:numPr>
          <w:ilvl w:val="0"/>
          <w:numId w:val="26"/>
        </w:numPr>
        <w:spacing w:after="109" w:line="248" w:lineRule="auto"/>
        <w:ind w:right="64" w:firstLine="708"/>
        <w:jc w:val="both"/>
      </w:pPr>
      <w:r>
        <w:rPr>
          <w:rFonts w:ascii="Arial" w:eastAsia="Arial" w:hAnsi="Arial" w:cs="Arial"/>
        </w:rPr>
        <w:t xml:space="preserve">concejales del Grupo Popular: Don Andrés Rodríguez Delgado y Doña Raquel Martín Castro. </w:t>
      </w:r>
    </w:p>
    <w:p w:rsidR="00FA7413" w:rsidRDefault="00D712A8">
      <w:pPr>
        <w:numPr>
          <w:ilvl w:val="0"/>
          <w:numId w:val="26"/>
        </w:numPr>
        <w:spacing w:after="109" w:line="248" w:lineRule="auto"/>
        <w:ind w:right="64" w:firstLine="708"/>
        <w:jc w:val="both"/>
      </w:pPr>
      <w:r>
        <w:rPr>
          <w:rFonts w:ascii="Arial" w:eastAsia="Arial" w:hAnsi="Arial" w:cs="Arial"/>
        </w:rPr>
        <w:t xml:space="preserve">de los concejales del Grupo Mixto: Don Antonio Delgado García y Doña Lourdes del Carmen Mondéjar Rondón (SSP) y  Doña Ángela Cruz Perera (CC).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Votos en contra: 0.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Abstenciones: 1. </w:t>
      </w:r>
    </w:p>
    <w:p w:rsidR="00FA7413" w:rsidRDefault="00D712A8">
      <w:pPr>
        <w:spacing w:after="0"/>
        <w:ind w:left="360"/>
      </w:pPr>
      <w:r>
        <w:rPr>
          <w:rFonts w:ascii="Arial" w:eastAsia="Arial" w:hAnsi="Arial" w:cs="Arial"/>
          <w:b/>
        </w:rPr>
        <w:t xml:space="preserve"> </w:t>
      </w:r>
    </w:p>
    <w:p w:rsidR="00FA7413" w:rsidRDefault="00D712A8">
      <w:pPr>
        <w:spacing w:after="109" w:line="248" w:lineRule="auto"/>
        <w:ind w:left="1078" w:right="64" w:hanging="10"/>
        <w:jc w:val="both"/>
      </w:pPr>
      <w:r>
        <w:rPr>
          <w:rFonts w:ascii="Arial" w:eastAsia="Arial" w:hAnsi="Arial" w:cs="Arial"/>
          <w:b/>
        </w:rPr>
        <w:t xml:space="preserve"> </w:t>
      </w:r>
      <w:r>
        <w:rPr>
          <w:rFonts w:ascii="Arial" w:eastAsia="Arial" w:hAnsi="Arial" w:cs="Arial"/>
        </w:rPr>
        <w:t xml:space="preserve">1 de la concejal del Grupo Mixto (VxC): Doña Alicia Mercedes Marrero Meneses.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noProof/>
        </w:rPr>
        <mc:AlternateContent>
          <mc:Choice Requires="wpg">
            <w:drawing>
              <wp:anchor distT="0" distB="0" distL="114300" distR="114300" simplePos="0" relativeHeight="251774976"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5117" name="Group 215117"/>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3245" name="Rectangle 13245"/>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3246" name="Rectangle 13246"/>
                        <wps:cNvSpPr/>
                        <wps:spPr>
                          <a:xfrm rot="-5399999">
                            <a:off x="-2094822" y="1215694"/>
                            <a:ext cx="44552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113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5117" style="width:12.7031pt;height:275.586pt;position:absolute;mso-position-horizontal-relative:page;mso-position-horizontal:absolute;margin-left:682.278pt;mso-position-vertical-relative:page;margin-top:536.334pt;" coordsize="1613,34999">
                <v:rect id="Rectangle 13245"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3246" style="position:absolute;width:44552;height:1132;left:-20948;top:1215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113 de 180 </w:t>
                        </w:r>
                      </w:p>
                    </w:txbxContent>
                  </v:textbox>
                </v:rect>
                <w10:wrap type="square"/>
              </v:group>
            </w:pict>
          </mc:Fallback>
        </mc:AlternateContent>
      </w:r>
      <w:r>
        <w:rPr>
          <w:rFonts w:ascii="Arial" w:eastAsia="Arial" w:hAnsi="Arial" w:cs="Arial"/>
          <w:b/>
        </w:rPr>
        <w:t xml:space="preserve"> </w:t>
      </w:r>
    </w:p>
    <w:p w:rsidR="00FA7413" w:rsidRDefault="00D712A8">
      <w:pPr>
        <w:spacing w:after="0"/>
        <w:ind w:left="1013" w:right="855" w:hanging="10"/>
        <w:jc w:val="center"/>
      </w:pPr>
      <w:r>
        <w:rPr>
          <w:rFonts w:ascii="Arial" w:eastAsia="Arial" w:hAnsi="Arial" w:cs="Arial"/>
          <w:b/>
        </w:rPr>
        <w:t xml:space="preserve">ACUERDO DEL PLENO DE 24 DE JUNIO DE 2021. </w:t>
      </w:r>
    </w:p>
    <w:p w:rsidR="00FA7413" w:rsidRDefault="00D712A8">
      <w:pPr>
        <w:spacing w:after="0"/>
        <w:ind w:left="1068"/>
      </w:pPr>
      <w:r>
        <w:rPr>
          <w:rFonts w:ascii="Arial" w:eastAsia="Arial" w:hAnsi="Arial" w:cs="Arial"/>
          <w:b/>
        </w:rPr>
        <w:t xml:space="preserve"> </w:t>
      </w:r>
    </w:p>
    <w:p w:rsidR="00FA7413" w:rsidRDefault="00D712A8">
      <w:pPr>
        <w:spacing w:after="0" w:line="248" w:lineRule="auto"/>
        <w:ind w:left="345" w:right="62" w:firstLine="708"/>
        <w:jc w:val="both"/>
      </w:pPr>
      <w:r>
        <w:rPr>
          <w:rFonts w:ascii="Arial" w:eastAsia="Arial" w:hAnsi="Arial" w:cs="Arial"/>
          <w:b/>
        </w:rPr>
        <w:t xml:space="preserve"> 1º.- </w:t>
      </w:r>
      <w:r>
        <w:rPr>
          <w:rFonts w:ascii="Arial" w:eastAsia="Arial" w:hAnsi="Arial" w:cs="Arial"/>
          <w:b/>
        </w:rPr>
        <w:t>Otorgar la conformidad expresa de esta Corporación a la declaración de la entidad “Gestión y Planeamiento Territorial y Medioambiental, SA (GESPLAN), adscrita a la Consejería de Transición Ecológica, Lucha contra el Cambio Climático y Planificación Territo</w:t>
      </w:r>
      <w:r>
        <w:rPr>
          <w:rFonts w:ascii="Arial" w:eastAsia="Arial" w:hAnsi="Arial" w:cs="Arial"/>
          <w:b/>
        </w:rPr>
        <w:t xml:space="preserve">rial del Gobierno de Canarias, como medio personificado del mismo, a los efectos dispuestos en el artículo 32.2 de la Ley 4/2012, de 25 de junio, de medidas administrativas y fiscales, en relación con el art. 32.4 de la LCSP.      </w:t>
      </w:r>
      <w:r>
        <w:rPr>
          <w:rFonts w:ascii="Times New Roman" w:eastAsia="Times New Roman" w:hAnsi="Times New Roman" w:cs="Times New Roman"/>
          <w:sz w:val="24"/>
        </w:rPr>
        <w:t xml:space="preserve"> </w: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spacing w:after="0" w:line="248" w:lineRule="auto"/>
        <w:ind w:left="345" w:right="62" w:firstLine="708"/>
        <w:jc w:val="both"/>
      </w:pPr>
      <w:r>
        <w:rPr>
          <w:rFonts w:ascii="Arial" w:eastAsia="Arial" w:hAnsi="Arial" w:cs="Arial"/>
          <w:b/>
        </w:rPr>
        <w:t>2º.- Solicitar formal</w:t>
      </w:r>
      <w:r>
        <w:rPr>
          <w:rFonts w:ascii="Arial" w:eastAsia="Arial" w:hAnsi="Arial" w:cs="Arial"/>
          <w:b/>
        </w:rPr>
        <w:t>mente de la  Consejería de Transición Ecológica, Lucha contra el Cambio Climático y Planificación Territorial  del Gobierno de Canarias, a la que se encuentra adscrita la entidad “GESPLAN,SA ”, que inicie el procedimiento de modificación estatutaria para q</w:t>
      </w:r>
      <w:r>
        <w:rPr>
          <w:rFonts w:ascii="Arial" w:eastAsia="Arial" w:hAnsi="Arial" w:cs="Arial"/>
          <w:b/>
        </w:rPr>
        <w:t>ue la segunda pueda ser declarada medio propio personificado y destinataria, por tanto de los encargos que este Ayuntamiento le pueda conferir, en los estrictos términos regulados en el acuerdo adoptado por el Gobierno de Canarias, en sesión de fecha 26 de</w:t>
      </w:r>
      <w:r>
        <w:rPr>
          <w:rFonts w:ascii="Arial" w:eastAsia="Arial" w:hAnsi="Arial" w:cs="Arial"/>
          <w:b/>
        </w:rPr>
        <w:t xml:space="preserve"> marzo de 2018, y en coherencia con la regulación establecida en el art. 32.4 de la LCSP.</w:t>
      </w:r>
      <w:r>
        <w:rPr>
          <w:rFonts w:ascii="Times New Roman" w:eastAsia="Times New Roman" w:hAnsi="Times New Roman" w:cs="Times New Roman"/>
          <w:sz w:val="24"/>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line="248" w:lineRule="auto"/>
        <w:ind w:left="345" w:right="62" w:firstLine="708"/>
        <w:jc w:val="both"/>
      </w:pPr>
      <w:r>
        <w:rPr>
          <w:rFonts w:ascii="Arial" w:eastAsia="Arial" w:hAnsi="Arial" w:cs="Arial"/>
          <w:b/>
        </w:rPr>
        <w:t>3º.- Solicitar formalmente de la Consejería de Transición Ecológica, Lucha contra el Cambio Climático y Planificación Territorial  del Gobierno de Canarias, a la q</w:t>
      </w:r>
      <w:r>
        <w:rPr>
          <w:rFonts w:ascii="Arial" w:eastAsia="Arial" w:hAnsi="Arial" w:cs="Arial"/>
          <w:b/>
        </w:rPr>
        <w:t>ue se encuentra adscrita la entidad “GESPLAN,SA”, que se tenga por designada como vocal único en el Consejo de Administración de la misma, como representante de la totalidad de los municipios, a la representante designada por la Federación Canaria de Munic</w:t>
      </w:r>
      <w:r>
        <w:rPr>
          <w:rFonts w:ascii="Arial" w:eastAsia="Arial" w:hAnsi="Arial" w:cs="Arial"/>
          <w:b/>
        </w:rPr>
        <w:t>ipios, Dña. María Concepción Brito Núñez, Alcaldes-Presidenta del Ayuntamiento de Candelaria, o en su caso, a la persona que lo sustituya, según acuerdo adoptado por la FECAM. o en su caso, a la persona que lo sustituya, según acuerdo adoptado por la FECAM</w:t>
      </w: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line="248" w:lineRule="auto"/>
        <w:ind w:left="345" w:right="62" w:firstLine="708"/>
        <w:jc w:val="both"/>
      </w:pPr>
      <w:r>
        <w:rPr>
          <w:rFonts w:ascii="Arial" w:eastAsia="Arial" w:hAnsi="Arial" w:cs="Arial"/>
          <w:b/>
        </w:rPr>
        <w:t>4º.-  Facultar a la Alcaldesa para la firma de los documentos necesarios de declaración de la entidad “GESPLAN, SA”, adscrita a la Consejería de Transición Ecológica, Lucha contra el Cambio Climático y Planificación Territorial del Gobierno de Canaria</w:t>
      </w:r>
      <w:r>
        <w:rPr>
          <w:rFonts w:ascii="Arial" w:eastAsia="Arial" w:hAnsi="Arial" w:cs="Arial"/>
          <w:b/>
        </w:rPr>
        <w:t xml:space="preserve">s, como medio propio personificado del mismo. </w:t>
      </w:r>
    </w:p>
    <w:p w:rsidR="00FA7413" w:rsidRDefault="00D712A8">
      <w:pPr>
        <w:spacing w:after="0"/>
        <w:ind w:left="1068"/>
      </w:pPr>
      <w:r>
        <w:rPr>
          <w:rFonts w:ascii="Arial" w:eastAsia="Arial" w:hAnsi="Arial" w:cs="Arial"/>
          <w:b/>
        </w:rPr>
        <w:t xml:space="preserve"> </w:t>
      </w:r>
    </w:p>
    <w:p w:rsidR="00FA7413" w:rsidRDefault="00D712A8">
      <w:pPr>
        <w:spacing w:after="112" w:line="248" w:lineRule="auto"/>
        <w:ind w:left="345" w:right="62" w:firstLine="708"/>
        <w:jc w:val="both"/>
      </w:pPr>
      <w:r>
        <w:rPr>
          <w:rFonts w:ascii="Arial" w:eastAsia="Arial" w:hAnsi="Arial" w:cs="Arial"/>
          <w:b/>
        </w:rPr>
        <w:t>5º.- Dar traslado del presente acuerdo a la Consejería de Transición Ecológica, Lucha contra el Cambio Climático y Planificación Territorial del Gobierno de Canarias, a la FECAM y a la entidad GESPLAN, SA, a</w:t>
      </w:r>
      <w:r>
        <w:rPr>
          <w:rFonts w:ascii="Arial" w:eastAsia="Arial" w:hAnsi="Arial" w:cs="Arial"/>
          <w:b/>
        </w:rPr>
        <w:t xml:space="preserve"> los efectos oportunos.” </w:t>
      </w:r>
    </w:p>
    <w:p w:rsidR="00FA7413" w:rsidRDefault="00D712A8">
      <w:pPr>
        <w:spacing w:after="115"/>
        <w:ind w:left="360"/>
      </w:pPr>
      <w:r>
        <w:rPr>
          <w:rFonts w:ascii="Arial" w:eastAsia="Arial" w:hAnsi="Arial" w:cs="Arial"/>
        </w:rPr>
        <w:t xml:space="preserve"> </w:t>
      </w:r>
    </w:p>
    <w:p w:rsidR="00FA7413" w:rsidRDefault="00D712A8">
      <w:pPr>
        <w:spacing w:after="0" w:line="249" w:lineRule="auto"/>
        <w:ind w:left="355" w:right="66" w:hanging="10"/>
        <w:jc w:val="both"/>
      </w:pPr>
      <w:r>
        <w:rPr>
          <w:rFonts w:ascii="Arial" w:eastAsia="Arial" w:hAnsi="Arial" w:cs="Arial"/>
          <w:b/>
          <w:sz w:val="24"/>
        </w:rPr>
        <w:t>13.-</w:t>
      </w:r>
      <w:r>
        <w:rPr>
          <w:rFonts w:ascii="Arial" w:eastAsia="Arial" w:hAnsi="Arial" w:cs="Arial"/>
          <w:sz w:val="24"/>
        </w:rPr>
        <w:t xml:space="preserve"> </w:t>
      </w:r>
      <w:r>
        <w:rPr>
          <w:rFonts w:ascii="Arial" w:eastAsia="Arial" w:hAnsi="Arial" w:cs="Arial"/>
          <w:b/>
          <w:sz w:val="24"/>
        </w:rPr>
        <w:t>Expediente 4395/2021. Propuesta de la Alcaldesa-Presidenta de fecha 14 de junio de 2021 al Pleno de encomienda de gestión a la entidad mercantil del Gobierno de Canarias GESTUR CANARIAS S.A. a los efectos de su consideració</w:t>
      </w:r>
      <w:r>
        <w:rPr>
          <w:rFonts w:ascii="Arial" w:eastAsia="Arial" w:hAnsi="Arial" w:cs="Arial"/>
          <w:b/>
          <w:sz w:val="24"/>
        </w:rPr>
        <w:t>n como medio propio personificado y destinataria de encargos y encomiendas que le realice el Ayuntamiento de Candelaria.</w:t>
      </w:r>
      <w:r>
        <w:rPr>
          <w:rFonts w:ascii="Arial" w:eastAsia="Arial" w:hAnsi="Arial" w:cs="Arial"/>
          <w:sz w:val="24"/>
        </w:rPr>
        <w:t xml:space="preserve"> </w:t>
      </w:r>
    </w:p>
    <w:p w:rsidR="00FA7413" w:rsidRDefault="00D712A8">
      <w:pPr>
        <w:spacing w:after="79"/>
        <w:ind w:left="360"/>
      </w:pPr>
      <w:r>
        <w:rPr>
          <w:rFonts w:ascii="Arial" w:eastAsia="Arial" w:hAnsi="Arial" w:cs="Arial"/>
          <w:b/>
          <w:sz w:val="24"/>
        </w:rPr>
        <w:t xml:space="preserve"> </w:t>
      </w:r>
    </w:p>
    <w:p w:rsidR="00FA7413" w:rsidRDefault="00D712A8">
      <w:pPr>
        <w:spacing w:after="98"/>
        <w:ind w:left="360"/>
      </w:pPr>
      <w:r>
        <w:rPr>
          <w:rFonts w:ascii="Arial" w:eastAsia="Arial" w:hAnsi="Arial" w:cs="Arial"/>
          <w:b/>
        </w:rPr>
        <w:t xml:space="preserve"> </w:t>
      </w:r>
    </w:p>
    <w:p w:rsidR="00FA7413" w:rsidRDefault="00D712A8">
      <w:pPr>
        <w:spacing w:after="112" w:line="248" w:lineRule="auto"/>
        <w:ind w:left="355" w:right="62" w:hanging="10"/>
        <w:jc w:val="both"/>
      </w:pPr>
      <w:r>
        <w:rPr>
          <w:noProof/>
        </w:rPr>
        <mc:AlternateContent>
          <mc:Choice Requires="wpg">
            <w:drawing>
              <wp:anchor distT="0" distB="0" distL="114300" distR="114300" simplePos="0" relativeHeight="251776000"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5343" name="Group 215343"/>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3400" name="Rectangle 13400"/>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3401" name="Rectangle 13401"/>
                        <wps:cNvSpPr/>
                        <wps:spPr>
                          <a:xfrm rot="-5399999">
                            <a:off x="-2094822" y="1215694"/>
                            <a:ext cx="44552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114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5343" style="width:12.7031pt;height:275.586pt;position:absolute;mso-position-horizontal-relative:page;mso-position-horizontal:absolute;margin-left:682.278pt;mso-position-vertical-relative:page;margin-top:536.334pt;" coordsize="1613,34999">
                <v:rect id="Rectangle 13400"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3401" style="position:absolute;width:44552;height:1132;left:-20948;top:1215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114 de 180 </w:t>
                        </w:r>
                      </w:p>
                    </w:txbxContent>
                  </v:textbox>
                </v:rect>
                <w10:wrap type="square"/>
              </v:group>
            </w:pict>
          </mc:Fallback>
        </mc:AlternateContent>
      </w:r>
      <w:r>
        <w:rPr>
          <w:rFonts w:ascii="Arial" w:eastAsia="Arial" w:hAnsi="Arial" w:cs="Arial"/>
          <w:b/>
        </w:rPr>
        <w:t xml:space="preserve">  Consta en el expediente Informe Jurídico emitido por Doña Mª del Pilar Chico Delgado, que desempeña el puesto de Técnico de Administración General, de 10 de ju</w:t>
      </w:r>
      <w:r>
        <w:rPr>
          <w:rFonts w:ascii="Arial" w:eastAsia="Arial" w:hAnsi="Arial" w:cs="Arial"/>
          <w:b/>
        </w:rPr>
        <w:t>nio de 2021, conformado por D. Octavio Manuel Fernández Hernández, Secretario General, de 11 de junio de 2021, y debidamente fiscalizado por D. Nicolás Rojo Garnica, Interventor Municipal, de 11 de junio de 2021, del siguiente tenor literal:</w:t>
      </w:r>
      <w:r>
        <w:rPr>
          <w:rFonts w:ascii="Arial" w:eastAsia="Arial" w:hAnsi="Arial" w:cs="Arial"/>
        </w:rPr>
        <w:t xml:space="preserve"> </w:t>
      </w:r>
    </w:p>
    <w:p w:rsidR="00FA7413" w:rsidRDefault="00D712A8">
      <w:pPr>
        <w:spacing w:after="100"/>
        <w:ind w:left="360"/>
      </w:pPr>
      <w:r>
        <w:rPr>
          <w:rFonts w:ascii="Arial" w:eastAsia="Arial" w:hAnsi="Arial" w:cs="Arial"/>
          <w:b/>
        </w:rPr>
        <w:t xml:space="preserve"> </w:t>
      </w:r>
    </w:p>
    <w:p w:rsidR="00FA7413" w:rsidRDefault="00D712A8">
      <w:pPr>
        <w:spacing w:after="106"/>
        <w:ind w:left="360"/>
      </w:pPr>
      <w:r>
        <w:rPr>
          <w:rFonts w:ascii="Arial" w:eastAsia="Arial" w:hAnsi="Arial" w:cs="Arial"/>
        </w:rPr>
        <w:t xml:space="preserve"> </w:t>
      </w:r>
    </w:p>
    <w:p w:rsidR="00FA7413" w:rsidRDefault="00D712A8">
      <w:pPr>
        <w:pStyle w:val="Ttulo1"/>
        <w:ind w:left="1013" w:right="2425"/>
      </w:pPr>
      <w:r>
        <w:t xml:space="preserve">         </w:t>
      </w:r>
      <w:r>
        <w:t xml:space="preserve">           “INFORME                             </w:t>
      </w:r>
      <w:r>
        <w:rPr>
          <w:b w:val="0"/>
        </w:rPr>
        <w:t xml:space="preserve"> </w:t>
      </w:r>
    </w:p>
    <w:p w:rsidR="00FA7413" w:rsidRDefault="00D712A8">
      <w:pPr>
        <w:spacing w:after="112" w:line="248" w:lineRule="auto"/>
        <w:ind w:left="355" w:right="62" w:hanging="10"/>
        <w:jc w:val="both"/>
      </w:pPr>
      <w:r>
        <w:rPr>
          <w:rFonts w:ascii="Arial" w:eastAsia="Arial" w:hAnsi="Arial" w:cs="Arial"/>
          <w:b/>
        </w:rPr>
        <w:t xml:space="preserve">Visto el expediente antedicho, la funcionaria Mª del Pilar Chico Delgado, que ocupa el puesto de trabajo de técnico de adm.gral., conformado por el Secretario General, debidamente fiscalizado favorablemente por el Interventor Municipal, emite el siguiente </w:t>
      </w:r>
      <w:r>
        <w:rPr>
          <w:rFonts w:ascii="Arial" w:eastAsia="Arial" w:hAnsi="Arial" w:cs="Arial"/>
          <w:b/>
        </w:rPr>
        <w:t>informe:</w:t>
      </w:r>
      <w:r>
        <w:rPr>
          <w:rFonts w:ascii="Arial" w:eastAsia="Arial" w:hAnsi="Arial" w:cs="Arial"/>
        </w:rPr>
        <w:t xml:space="preserve"> </w:t>
      </w:r>
    </w:p>
    <w:p w:rsidR="00FA7413" w:rsidRDefault="00D712A8">
      <w:pPr>
        <w:spacing w:after="98"/>
        <w:ind w:left="360"/>
      </w:pPr>
      <w:r>
        <w:rPr>
          <w:rFonts w:ascii="Arial" w:eastAsia="Arial" w:hAnsi="Arial" w:cs="Arial"/>
        </w:rPr>
        <w:t xml:space="preserve">  </w:t>
      </w:r>
    </w:p>
    <w:p w:rsidR="00FA7413" w:rsidRDefault="00D712A8">
      <w:pPr>
        <w:spacing w:after="98"/>
        <w:ind w:left="360"/>
      </w:pPr>
      <w:r>
        <w:rPr>
          <w:rFonts w:ascii="Arial" w:eastAsia="Arial" w:hAnsi="Arial" w:cs="Arial"/>
        </w:rPr>
        <w:t xml:space="preserve"> </w:t>
      </w:r>
    </w:p>
    <w:p w:rsidR="00FA7413" w:rsidRDefault="00D712A8">
      <w:pPr>
        <w:pStyle w:val="Ttulo1"/>
        <w:ind w:left="1013" w:right="716"/>
      </w:pPr>
      <w:r>
        <w:t xml:space="preserve">Antecedentes de hecho  </w:t>
      </w:r>
    </w:p>
    <w:p w:rsidR="00FA7413" w:rsidRDefault="00D712A8">
      <w:pPr>
        <w:spacing w:after="98"/>
        <w:ind w:left="346"/>
        <w:jc w:val="center"/>
      </w:pPr>
      <w:r>
        <w:rPr>
          <w:rFonts w:ascii="Arial" w:eastAsia="Arial" w:hAnsi="Arial" w:cs="Arial"/>
        </w:rPr>
        <w:t xml:space="preserve"> </w:t>
      </w:r>
    </w:p>
    <w:p w:rsidR="00FA7413" w:rsidRDefault="00D712A8">
      <w:pPr>
        <w:spacing w:after="112" w:line="247" w:lineRule="auto"/>
        <w:ind w:left="345" w:right="62" w:firstLine="708"/>
        <w:jc w:val="both"/>
      </w:pPr>
      <w:r>
        <w:rPr>
          <w:rFonts w:ascii="Arial" w:eastAsia="Arial" w:hAnsi="Arial" w:cs="Arial"/>
          <w:b/>
        </w:rPr>
        <w:t>Visto</w:t>
      </w:r>
      <w:r>
        <w:rPr>
          <w:rFonts w:ascii="Arial" w:eastAsia="Arial" w:hAnsi="Arial" w:cs="Arial"/>
        </w:rPr>
        <w:t xml:space="preserve"> el escrito recibido con justificante de presentación electrónica  de fecha 14 de octubre de 2020, presentado por la entidad “GESTUR CANARIAS,SA”, en el que “</w:t>
      </w:r>
      <w:r>
        <w:rPr>
          <w:rFonts w:ascii="Arial" w:eastAsia="Arial" w:hAnsi="Arial" w:cs="Arial"/>
          <w:i/>
        </w:rPr>
        <w:t>solicitan del órgano competente de este Ayuntamiento</w:t>
      </w:r>
      <w:r>
        <w:rPr>
          <w:rFonts w:ascii="Arial" w:eastAsia="Arial" w:hAnsi="Arial" w:cs="Arial"/>
          <w:i/>
        </w:rPr>
        <w:t xml:space="preserve"> que formule solicitud a la Consejería de Transición Ecológica, Lucha contra el Cambio Climático y Planificación Territorial del inicio del procedimiento  de modificación estatutaria para que pueda ser considerada medio propio personificado y destinaria de</w:t>
      </w:r>
      <w:r>
        <w:rPr>
          <w:rFonts w:ascii="Arial" w:eastAsia="Arial" w:hAnsi="Arial" w:cs="Arial"/>
          <w:i/>
        </w:rPr>
        <w:t xml:space="preserve"> encargos, con posterior comunicación de dicha solicitud a la referida Consejería”.  </w:t>
      </w:r>
      <w:r>
        <w:rPr>
          <w:rFonts w:ascii="Arial" w:eastAsia="Arial" w:hAnsi="Arial" w:cs="Arial"/>
        </w:rPr>
        <w:t xml:space="preserve"> </w:t>
      </w:r>
    </w:p>
    <w:p w:rsidR="00FA7413" w:rsidRDefault="00D712A8">
      <w:pPr>
        <w:spacing w:after="0"/>
        <w:ind w:left="360"/>
      </w:pPr>
      <w:r>
        <w:rPr>
          <w:rFonts w:ascii="Arial" w:eastAsia="Arial" w:hAnsi="Arial" w:cs="Arial"/>
        </w:rPr>
        <w:t xml:space="preserve"> </w:t>
      </w:r>
      <w:r>
        <w:rPr>
          <w:rFonts w:ascii="Arial" w:eastAsia="Arial" w:hAnsi="Arial" w:cs="Arial"/>
        </w:rPr>
        <w:tab/>
        <w:t xml:space="preserve"> </w:t>
      </w:r>
    </w:p>
    <w:p w:rsidR="00FA7413" w:rsidRDefault="00D712A8">
      <w:pPr>
        <w:spacing w:after="109" w:line="248" w:lineRule="auto"/>
        <w:ind w:left="355" w:right="64" w:hanging="10"/>
        <w:jc w:val="both"/>
      </w:pPr>
      <w:r>
        <w:rPr>
          <w:rFonts w:ascii="Arial" w:eastAsia="Arial" w:hAnsi="Arial" w:cs="Arial"/>
        </w:rPr>
        <w:t xml:space="preserve">  </w:t>
      </w:r>
      <w:r>
        <w:rPr>
          <w:rFonts w:ascii="Arial" w:eastAsia="Arial" w:hAnsi="Arial" w:cs="Arial"/>
          <w:b/>
        </w:rPr>
        <w:t>Visto</w:t>
      </w:r>
      <w:r>
        <w:rPr>
          <w:rFonts w:ascii="Arial" w:eastAsia="Arial" w:hAnsi="Arial" w:cs="Arial"/>
        </w:rPr>
        <w:t xml:space="preserve"> </w:t>
      </w:r>
      <w:r>
        <w:rPr>
          <w:rFonts w:ascii="Arial" w:eastAsia="Arial" w:hAnsi="Arial" w:cs="Arial"/>
        </w:rPr>
        <w:t>el Acuerdo del Gobierno de Canarias de 26 de marzo de 2018, por el que se fijan las condiciones que deberán cumplir las entidades del sector público autonómico con presupuesto estimativo para ser consideradas medio propio personificado y destinatarias de e</w:t>
      </w:r>
      <w:r>
        <w:rPr>
          <w:rFonts w:ascii="Arial" w:eastAsia="Arial" w:hAnsi="Arial" w:cs="Arial"/>
        </w:rPr>
        <w:t xml:space="preserve">ncargos en virtud de lo previsto en el art. 32.2 de la Ley 4/2012, de 25 de junio, de medidas administrativas y fiscales (Consejería de Hacienda).     </w:t>
      </w:r>
    </w:p>
    <w:p w:rsidR="00FA7413" w:rsidRDefault="00D712A8">
      <w:pPr>
        <w:tabs>
          <w:tab w:val="center" w:pos="360"/>
          <w:tab w:val="center" w:pos="2892"/>
        </w:tabs>
        <w:spacing w:after="109" w:line="248" w:lineRule="auto"/>
      </w:pPr>
      <w:r>
        <w:tab/>
      </w:r>
      <w:r>
        <w:rPr>
          <w:rFonts w:ascii="Arial" w:eastAsia="Arial" w:hAnsi="Arial" w:cs="Arial"/>
        </w:rPr>
        <w:t xml:space="preserve"> </w:t>
      </w:r>
      <w:r>
        <w:rPr>
          <w:rFonts w:ascii="Arial" w:eastAsia="Arial" w:hAnsi="Arial" w:cs="Arial"/>
        </w:rPr>
        <w:tab/>
        <w:t xml:space="preserve">Estas condiciones son las siguientes: </w:t>
      </w:r>
    </w:p>
    <w:p w:rsidR="00FA7413" w:rsidRDefault="00D712A8">
      <w:pPr>
        <w:spacing w:after="98"/>
        <w:ind w:left="360"/>
      </w:pPr>
      <w:r>
        <w:rPr>
          <w:rFonts w:ascii="Arial" w:eastAsia="Arial" w:hAnsi="Arial" w:cs="Arial"/>
        </w:rPr>
        <w:t xml:space="preserve"> </w:t>
      </w:r>
    </w:p>
    <w:p w:rsidR="00FA7413" w:rsidRDefault="00D712A8">
      <w:pPr>
        <w:numPr>
          <w:ilvl w:val="0"/>
          <w:numId w:val="27"/>
        </w:numPr>
        <w:spacing w:after="167" w:line="247" w:lineRule="auto"/>
        <w:ind w:right="62" w:hanging="360"/>
        <w:jc w:val="both"/>
      </w:pPr>
      <w:r>
        <w:rPr>
          <w:rFonts w:ascii="Arial" w:eastAsia="Arial" w:hAnsi="Arial" w:cs="Arial"/>
          <w:i/>
        </w:rPr>
        <w:t>La totalidad del capital social o patrimonio de los entes co</w:t>
      </w:r>
      <w:r>
        <w:rPr>
          <w:rFonts w:ascii="Arial" w:eastAsia="Arial" w:hAnsi="Arial" w:cs="Arial"/>
          <w:i/>
        </w:rPr>
        <w:t xml:space="preserve">n personalidad jurídica privada con la cualificación de medio propio de la Administración Pública de la Comunidad Autónoma de Canarias ha ser de titularidad o aportación pública. </w:t>
      </w:r>
    </w:p>
    <w:p w:rsidR="00FA7413" w:rsidRDefault="00D712A8">
      <w:pPr>
        <w:spacing w:after="0"/>
        <w:ind w:left="360"/>
      </w:pPr>
      <w:r>
        <w:rPr>
          <w:rFonts w:ascii="Arial" w:eastAsia="Arial" w:hAnsi="Arial" w:cs="Arial"/>
          <w:i/>
        </w:rPr>
        <w:t xml:space="preserve"> </w:t>
      </w:r>
    </w:p>
    <w:p w:rsidR="00FA7413" w:rsidRDefault="00D712A8">
      <w:pPr>
        <w:numPr>
          <w:ilvl w:val="0"/>
          <w:numId w:val="27"/>
        </w:numPr>
        <w:spacing w:after="167" w:line="247" w:lineRule="auto"/>
        <w:ind w:right="62" w:hanging="360"/>
        <w:jc w:val="both"/>
      </w:pPr>
      <w:r>
        <w:rPr>
          <w:rFonts w:ascii="Arial" w:eastAsia="Arial" w:hAnsi="Arial" w:cs="Arial"/>
          <w:i/>
        </w:rPr>
        <w:t>Se deberá tramitar un procedimiento de modificación estatutaria de aquella</w:t>
      </w:r>
      <w:r>
        <w:rPr>
          <w:rFonts w:ascii="Arial" w:eastAsia="Arial" w:hAnsi="Arial" w:cs="Arial"/>
          <w:i/>
        </w:rPr>
        <w:t xml:space="preserve">s entidades del sector público autonómico con presupuesto estimativo que vayan a ser declaradas medio propio personificado de las entidades canarias para: </w:t>
      </w:r>
    </w:p>
    <w:p w:rsidR="00FA7413" w:rsidRDefault="00D712A8">
      <w:pPr>
        <w:spacing w:after="0"/>
        <w:ind w:left="1080"/>
      </w:pPr>
      <w:r>
        <w:rPr>
          <w:rFonts w:ascii="Arial" w:eastAsia="Arial" w:hAnsi="Arial" w:cs="Arial"/>
          <w:i/>
        </w:rPr>
        <w:t xml:space="preserve"> </w:t>
      </w:r>
    </w:p>
    <w:p w:rsidR="00FA7413" w:rsidRDefault="00D712A8">
      <w:pPr>
        <w:numPr>
          <w:ilvl w:val="1"/>
          <w:numId w:val="27"/>
        </w:numPr>
        <w:spacing w:after="0" w:line="247" w:lineRule="auto"/>
        <w:ind w:right="62" w:hanging="355"/>
        <w:jc w:val="both"/>
      </w:pPr>
      <w:r>
        <w:rPr>
          <w:rFonts w:ascii="Arial" w:eastAsia="Arial" w:hAnsi="Arial" w:cs="Arial"/>
          <w:i/>
        </w:rPr>
        <w:t>La inclusión del reconocimiento expreso de la condición de medio propio personificado de la socied</w:t>
      </w:r>
      <w:r>
        <w:rPr>
          <w:rFonts w:ascii="Arial" w:eastAsia="Arial" w:hAnsi="Arial" w:cs="Arial"/>
          <w:i/>
        </w:rPr>
        <w:t xml:space="preserve">ad respecto a todos los poderes adjudicadores que así lo establezcan. </w:t>
      </w:r>
    </w:p>
    <w:p w:rsidR="00FA7413" w:rsidRDefault="00D712A8">
      <w:pPr>
        <w:spacing w:after="0"/>
        <w:ind w:left="1073"/>
      </w:pPr>
      <w:r>
        <w:rPr>
          <w:rFonts w:ascii="Arial" w:eastAsia="Arial" w:hAnsi="Arial" w:cs="Arial"/>
          <w:i/>
        </w:rPr>
        <w:t xml:space="preserve"> </w:t>
      </w:r>
    </w:p>
    <w:p w:rsidR="00FA7413" w:rsidRDefault="00D712A8">
      <w:pPr>
        <w:numPr>
          <w:ilvl w:val="1"/>
          <w:numId w:val="27"/>
        </w:numPr>
        <w:spacing w:after="3" w:line="241" w:lineRule="auto"/>
        <w:ind w:right="62" w:hanging="355"/>
        <w:jc w:val="both"/>
      </w:pPr>
      <w:r>
        <w:rPr>
          <w:noProof/>
        </w:rPr>
        <mc:AlternateContent>
          <mc:Choice Requires="wpg">
            <w:drawing>
              <wp:anchor distT="0" distB="0" distL="114300" distR="114300" simplePos="0" relativeHeight="251777024"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5673" name="Group 215673"/>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3514" name="Rectangle 13514"/>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3515" name="Rectangle 13515"/>
                        <wps:cNvSpPr/>
                        <wps:spPr>
                          <a:xfrm rot="-5399999">
                            <a:off x="-2094822" y="1215694"/>
                            <a:ext cx="44552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115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5673" style="width:12.7031pt;height:275.586pt;position:absolute;mso-position-horizontal-relative:page;mso-position-horizontal:absolute;margin-left:682.278pt;mso-position-vertical-relative:page;margin-top:536.334pt;" coordsize="1613,34999">
                <v:rect id="Rectangle 13514"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3515" style="position:absolute;width:44552;height:1132;left:-20948;top:1215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115 de 180 </w:t>
                        </w:r>
                      </w:p>
                    </w:txbxContent>
                  </v:textbox>
                </v:rect>
                <w10:wrap type="square"/>
              </v:group>
            </w:pict>
          </mc:Fallback>
        </mc:AlternateContent>
      </w:r>
      <w:r>
        <w:rPr>
          <w:rFonts w:ascii="Arial" w:eastAsia="Arial" w:hAnsi="Arial" w:cs="Arial"/>
          <w:i/>
        </w:rPr>
        <w:t xml:space="preserve">La previsión de que el medio propio personificado dispone de los medios suficientes e idóneos para realizar las prestaciones en el sector de la actividad que se </w:t>
      </w:r>
      <w:r>
        <w:rPr>
          <w:rFonts w:ascii="Arial" w:eastAsia="Arial" w:hAnsi="Arial" w:cs="Arial"/>
          <w:i/>
        </w:rPr>
        <w:t xml:space="preserve">corresponda con su objeto social de acuerdo con su norma o acuerdo de creación. </w:t>
      </w:r>
    </w:p>
    <w:p w:rsidR="00FA7413" w:rsidRDefault="00D712A8">
      <w:pPr>
        <w:spacing w:after="0"/>
        <w:ind w:left="360"/>
      </w:pPr>
      <w:r>
        <w:rPr>
          <w:rFonts w:ascii="Arial" w:eastAsia="Arial" w:hAnsi="Arial" w:cs="Arial"/>
          <w:i/>
        </w:rPr>
        <w:t xml:space="preserve"> </w:t>
      </w:r>
    </w:p>
    <w:p w:rsidR="00FA7413" w:rsidRDefault="00D712A8">
      <w:pPr>
        <w:numPr>
          <w:ilvl w:val="1"/>
          <w:numId w:val="27"/>
        </w:numPr>
        <w:spacing w:after="0" w:line="247" w:lineRule="auto"/>
        <w:ind w:right="62" w:hanging="355"/>
        <w:jc w:val="both"/>
      </w:pPr>
      <w:r>
        <w:rPr>
          <w:rFonts w:ascii="Arial" w:eastAsia="Arial" w:hAnsi="Arial" w:cs="Arial"/>
          <w:i/>
        </w:rPr>
        <w:t xml:space="preserve">La inclusión del reconocimiento expreso de que la comunicación encargando una actuación, efectuada por cualquiera de los poderes adjudicadores (Comunidad Autónoma, Cabildos </w:t>
      </w:r>
      <w:r>
        <w:rPr>
          <w:rFonts w:ascii="Arial" w:eastAsia="Arial" w:hAnsi="Arial" w:cs="Arial"/>
          <w:i/>
        </w:rPr>
        <w:t xml:space="preserve">Insulares y Ayuntamientos) supondrá su ejecución obligatoria, debiéndose adoptar todas las medidas necesarias por las partes para garantizar el cumplimiento del principio de sostenibilidad financiera. </w:t>
      </w:r>
    </w:p>
    <w:p w:rsidR="00FA7413" w:rsidRDefault="00D712A8">
      <w:pPr>
        <w:spacing w:after="0"/>
        <w:ind w:left="360"/>
      </w:pPr>
      <w:r>
        <w:rPr>
          <w:rFonts w:ascii="Arial" w:eastAsia="Arial" w:hAnsi="Arial" w:cs="Arial"/>
          <w:i/>
        </w:rPr>
        <w:t xml:space="preserve"> </w:t>
      </w:r>
    </w:p>
    <w:p w:rsidR="00FA7413" w:rsidRDefault="00D712A8">
      <w:pPr>
        <w:numPr>
          <w:ilvl w:val="1"/>
          <w:numId w:val="27"/>
        </w:numPr>
        <w:spacing w:after="0" w:line="247" w:lineRule="auto"/>
        <w:ind w:right="62" w:hanging="355"/>
        <w:jc w:val="both"/>
      </w:pPr>
      <w:r>
        <w:rPr>
          <w:rFonts w:ascii="Arial" w:eastAsia="Arial" w:hAnsi="Arial" w:cs="Arial"/>
          <w:i/>
        </w:rPr>
        <w:t>La modificación de la composición del consejo de adm</w:t>
      </w:r>
      <w:r>
        <w:rPr>
          <w:rFonts w:ascii="Arial" w:eastAsia="Arial" w:hAnsi="Arial" w:cs="Arial"/>
          <w:i/>
        </w:rPr>
        <w:t>inistración para incrementar en dos miembros el número de vocales, que serían designados por las Corporaciones Locales canarias y representarían, uno de ellos, a la totalidad de los Cabildos Insulares y, otro, a la totalidad de los Ayuntamiento que le cons</w:t>
      </w:r>
      <w:r>
        <w:rPr>
          <w:rFonts w:ascii="Arial" w:eastAsia="Arial" w:hAnsi="Arial" w:cs="Arial"/>
          <w:i/>
        </w:rPr>
        <w:t xml:space="preserve">ideraran medio propio personificado. </w:t>
      </w:r>
    </w:p>
    <w:p w:rsidR="00FA7413" w:rsidRDefault="00D712A8">
      <w:pPr>
        <w:spacing w:after="0"/>
        <w:ind w:left="1080"/>
      </w:pPr>
      <w:r>
        <w:rPr>
          <w:rFonts w:ascii="Arial" w:eastAsia="Arial" w:hAnsi="Arial" w:cs="Arial"/>
          <w:i/>
        </w:rPr>
        <w:t xml:space="preserve"> </w:t>
      </w:r>
    </w:p>
    <w:p w:rsidR="00FA7413" w:rsidRDefault="00D712A8">
      <w:pPr>
        <w:numPr>
          <w:ilvl w:val="1"/>
          <w:numId w:val="27"/>
        </w:numPr>
        <w:spacing w:after="0" w:line="247" w:lineRule="auto"/>
        <w:ind w:right="62" w:hanging="355"/>
        <w:jc w:val="both"/>
      </w:pPr>
      <w:r>
        <w:rPr>
          <w:rFonts w:ascii="Arial" w:eastAsia="Arial" w:hAnsi="Arial" w:cs="Arial"/>
          <w:i/>
        </w:rPr>
        <w:t>La previsión de un procedimiento acorde a la normativa de sociedades de capital que sirva para la resolución de conflictos de intereses que eventualmente pudieran surgir entre los poderes adjudicadores que ejercen in</w:t>
      </w:r>
      <w:r>
        <w:rPr>
          <w:rFonts w:ascii="Arial" w:eastAsia="Arial" w:hAnsi="Arial" w:cs="Arial"/>
          <w:i/>
        </w:rPr>
        <w:t xml:space="preserve">fluencia decisiva sobre los objetivos de la sociedad o entre estos y la propia sociedad. </w:t>
      </w:r>
    </w:p>
    <w:p w:rsidR="00FA7413" w:rsidRDefault="00D712A8">
      <w:pPr>
        <w:spacing w:after="0"/>
        <w:ind w:left="1080"/>
      </w:pPr>
      <w:r>
        <w:rPr>
          <w:rFonts w:ascii="Arial" w:eastAsia="Arial" w:hAnsi="Arial" w:cs="Arial"/>
          <w:i/>
        </w:rPr>
        <w:t xml:space="preserve"> </w:t>
      </w:r>
    </w:p>
    <w:p w:rsidR="00FA7413" w:rsidRDefault="00D712A8">
      <w:pPr>
        <w:numPr>
          <w:ilvl w:val="1"/>
          <w:numId w:val="27"/>
        </w:numPr>
        <w:spacing w:after="0" w:line="247" w:lineRule="auto"/>
        <w:ind w:right="62" w:hanging="355"/>
        <w:jc w:val="both"/>
      </w:pPr>
      <w:r>
        <w:rPr>
          <w:rFonts w:ascii="Arial" w:eastAsia="Arial" w:hAnsi="Arial" w:cs="Arial"/>
          <w:i/>
        </w:rPr>
        <w:t xml:space="preserve">La previsión de que el Consejo de Administración de las entidades del sector públicos autonómico con presupuesto estimativo que vayan a ser declaradas medio propio </w:t>
      </w:r>
      <w:r>
        <w:rPr>
          <w:rFonts w:ascii="Arial" w:eastAsia="Arial" w:hAnsi="Arial" w:cs="Arial"/>
          <w:i/>
        </w:rPr>
        <w:t xml:space="preserve">personificado de las entidades locales en que así se constituya, pueda crear un comité de representación paritaria de todos los poderes adjudicadores que le hayan declarado medio propio personificado, encargado de definir los objetivos y estrategias de la </w:t>
      </w:r>
      <w:r>
        <w:rPr>
          <w:rFonts w:ascii="Arial" w:eastAsia="Arial" w:hAnsi="Arial" w:cs="Arial"/>
          <w:i/>
        </w:rPr>
        <w:t>entidad, acordes con los objetivos y estrategias de cada uno de los encomendantes, así como efectuar un control reforzado de las actuaciones concretas a realizar por la entidad para atender los encargos que le realicen los diferentes poderes adjudicadores.</w:t>
      </w:r>
      <w:r>
        <w:rPr>
          <w:rFonts w:ascii="Arial" w:eastAsia="Arial" w:hAnsi="Arial" w:cs="Arial"/>
          <w:i/>
        </w:rPr>
        <w:t xml:space="preserve"> Dicho órgano establecerá qué actuaciones se considerarán prioritarias atendiendo a las políticas en las que se encuadra cada encargo.  </w:t>
      </w:r>
    </w:p>
    <w:p w:rsidR="00FA7413" w:rsidRDefault="00D712A8">
      <w:pPr>
        <w:spacing w:after="0"/>
        <w:ind w:left="1080"/>
      </w:pPr>
      <w:r>
        <w:rPr>
          <w:rFonts w:ascii="Arial" w:eastAsia="Arial" w:hAnsi="Arial" w:cs="Arial"/>
          <w:i/>
        </w:rPr>
        <w:t xml:space="preserve"> </w:t>
      </w:r>
    </w:p>
    <w:p w:rsidR="00FA7413" w:rsidRDefault="00D712A8">
      <w:pPr>
        <w:numPr>
          <w:ilvl w:val="1"/>
          <w:numId w:val="27"/>
        </w:numPr>
        <w:spacing w:after="0" w:line="247" w:lineRule="auto"/>
        <w:ind w:right="62" w:hanging="355"/>
        <w:jc w:val="both"/>
      </w:pPr>
      <w:r>
        <w:rPr>
          <w:rFonts w:ascii="Arial" w:eastAsia="Arial" w:hAnsi="Arial" w:cs="Arial"/>
          <w:i/>
        </w:rPr>
        <w:t>La inclusión de la prohibición del medio propio personificado de realizar actuaciones contrarias a los fines e intere</w:t>
      </w:r>
      <w:r>
        <w:rPr>
          <w:rFonts w:ascii="Arial" w:eastAsia="Arial" w:hAnsi="Arial" w:cs="Arial"/>
          <w:i/>
        </w:rPr>
        <w:t xml:space="preserve">ses públicos de los poderes adjudicadores que hacen los encargos. </w:t>
      </w:r>
    </w:p>
    <w:p w:rsidR="00FA7413" w:rsidRDefault="00D712A8">
      <w:pPr>
        <w:spacing w:after="0"/>
        <w:ind w:left="360"/>
      </w:pPr>
      <w:r>
        <w:rPr>
          <w:rFonts w:ascii="Arial" w:eastAsia="Arial" w:hAnsi="Arial" w:cs="Arial"/>
          <w:i/>
        </w:rPr>
        <w:t xml:space="preserve"> </w:t>
      </w:r>
    </w:p>
    <w:p w:rsidR="00FA7413" w:rsidRDefault="00D712A8">
      <w:pPr>
        <w:spacing w:after="0"/>
        <w:ind w:left="1080"/>
      </w:pPr>
      <w:r>
        <w:rPr>
          <w:rFonts w:ascii="Arial" w:eastAsia="Arial" w:hAnsi="Arial" w:cs="Arial"/>
          <w:i/>
        </w:rPr>
        <w:t xml:space="preserve"> </w:t>
      </w:r>
    </w:p>
    <w:p w:rsidR="00FA7413" w:rsidRDefault="00D712A8">
      <w:pPr>
        <w:numPr>
          <w:ilvl w:val="1"/>
          <w:numId w:val="27"/>
        </w:numPr>
        <w:spacing w:after="0" w:line="247" w:lineRule="auto"/>
        <w:ind w:right="62" w:hanging="355"/>
        <w:jc w:val="both"/>
      </w:pPr>
      <w:r>
        <w:rPr>
          <w:rFonts w:ascii="Arial" w:eastAsia="Arial" w:hAnsi="Arial" w:cs="Arial"/>
          <w:i/>
        </w:rPr>
        <w:t>La inclusión de un apartado referido a que las tarifas o presupuestos de los encargos que realicen los poderes adjudicadores que le hay n declarado medio propio personificado deben ser aprobados por la entidad pública de la que dependa el medio propio pers</w:t>
      </w:r>
      <w:r>
        <w:rPr>
          <w:rFonts w:ascii="Arial" w:eastAsia="Arial" w:hAnsi="Arial" w:cs="Arial"/>
          <w:i/>
        </w:rPr>
        <w:t xml:space="preserve">onificado, respondiendo a los costes y gastos reales en que incurra el medio propio personificado para la ejecución del encargo. </w:t>
      </w:r>
    </w:p>
    <w:p w:rsidR="00FA7413" w:rsidRDefault="00D712A8">
      <w:pPr>
        <w:spacing w:after="0"/>
        <w:ind w:left="1073"/>
      </w:pPr>
      <w:r>
        <w:rPr>
          <w:rFonts w:ascii="Arial" w:eastAsia="Arial" w:hAnsi="Arial" w:cs="Arial"/>
          <w:i/>
        </w:rPr>
        <w:t xml:space="preserve"> </w:t>
      </w:r>
    </w:p>
    <w:p w:rsidR="00FA7413" w:rsidRDefault="00D712A8">
      <w:pPr>
        <w:numPr>
          <w:ilvl w:val="1"/>
          <w:numId w:val="27"/>
        </w:numPr>
        <w:spacing w:after="0" w:line="247" w:lineRule="auto"/>
        <w:ind w:right="62" w:hanging="355"/>
        <w:jc w:val="both"/>
      </w:pPr>
      <w:r>
        <w:rPr>
          <w:rFonts w:ascii="Arial" w:eastAsia="Arial" w:hAnsi="Arial" w:cs="Arial"/>
          <w:i/>
        </w:rPr>
        <w:t>La inclusión de la previsión de que en la memoria integrante de las cuentas anuales del medio propio personificado se incluy</w:t>
      </w:r>
      <w:r>
        <w:rPr>
          <w:rFonts w:ascii="Arial" w:eastAsia="Arial" w:hAnsi="Arial" w:cs="Arial"/>
          <w:i/>
        </w:rPr>
        <w:t>a un apartado relativo a la justificación del cumplimiento del requisito de que la parte esencial de la actividad del medio propio personificado se realice con los entes que la controlan; hecho que deberá ser objeto de verificación por el auditor en la aud</w:t>
      </w:r>
      <w:r>
        <w:rPr>
          <w:rFonts w:ascii="Arial" w:eastAsia="Arial" w:hAnsi="Arial" w:cs="Arial"/>
          <w:i/>
        </w:rPr>
        <w:t xml:space="preserve">itoría de cuentas anuales. </w:t>
      </w:r>
    </w:p>
    <w:p w:rsidR="00FA7413" w:rsidRDefault="00D712A8">
      <w:pPr>
        <w:spacing w:after="0"/>
        <w:ind w:left="1080"/>
      </w:pPr>
      <w:r>
        <w:rPr>
          <w:rFonts w:ascii="Arial" w:eastAsia="Arial" w:hAnsi="Arial" w:cs="Arial"/>
          <w:i/>
        </w:rPr>
        <w:t xml:space="preserve"> </w:t>
      </w:r>
    </w:p>
    <w:p w:rsidR="00FA7413" w:rsidRDefault="00D712A8">
      <w:pPr>
        <w:spacing w:after="0" w:line="247" w:lineRule="auto"/>
        <w:ind w:left="1083" w:right="62" w:hanging="10"/>
        <w:jc w:val="both"/>
      </w:pPr>
      <w:r>
        <w:rPr>
          <w:rFonts w:ascii="Arial" w:eastAsia="Arial" w:hAnsi="Arial" w:cs="Arial"/>
          <w:i/>
        </w:rPr>
        <w:t xml:space="preserve">Dicha parte esencial será, en todo caso, más del 80% de las actividades del ente destinatario del encargo. </w:t>
      </w:r>
    </w:p>
    <w:p w:rsidR="00FA7413" w:rsidRDefault="00D712A8">
      <w:pPr>
        <w:spacing w:after="0"/>
        <w:ind w:left="1080"/>
      </w:pPr>
      <w:r>
        <w:rPr>
          <w:rFonts w:ascii="Arial" w:eastAsia="Arial" w:hAnsi="Arial" w:cs="Arial"/>
          <w:i/>
        </w:rPr>
        <w:t xml:space="preserve"> </w:t>
      </w:r>
    </w:p>
    <w:p w:rsidR="00FA7413" w:rsidRDefault="00D712A8">
      <w:pPr>
        <w:numPr>
          <w:ilvl w:val="1"/>
          <w:numId w:val="27"/>
        </w:numPr>
        <w:spacing w:after="0" w:line="247" w:lineRule="auto"/>
        <w:ind w:right="62" w:hanging="355"/>
        <w:jc w:val="both"/>
      </w:pPr>
      <w:r>
        <w:rPr>
          <w:noProof/>
        </w:rPr>
        <mc:AlternateContent>
          <mc:Choice Requires="wpg">
            <w:drawing>
              <wp:anchor distT="0" distB="0" distL="114300" distR="114300" simplePos="0" relativeHeight="251778048"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6033" name="Group 216033"/>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3621" name="Rectangle 13621"/>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3622" name="Rectangle 13622"/>
                        <wps:cNvSpPr/>
                        <wps:spPr>
                          <a:xfrm rot="-5399999">
                            <a:off x="-2094822" y="1215694"/>
                            <a:ext cx="44552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116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6033" style="width:12.7031pt;height:275.586pt;position:absolute;mso-position-horizontal-relative:page;mso-position-horizontal:absolute;margin-left:682.278pt;mso-position-vertical-relative:page;margin-top:536.334pt;" coordsize="1613,34999">
                <v:rect id="Rectangle 13621"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3622" style="position:absolute;width:44552;height:1132;left:-20948;top:1215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116 de 180 </w:t>
                        </w:r>
                      </w:p>
                    </w:txbxContent>
                  </v:textbox>
                </v:rect>
                <w10:wrap type="square"/>
              </v:group>
            </w:pict>
          </mc:Fallback>
        </mc:AlternateContent>
      </w:r>
      <w:r>
        <w:rPr>
          <w:rFonts w:ascii="Arial" w:eastAsia="Arial" w:hAnsi="Arial" w:cs="Arial"/>
          <w:i/>
        </w:rPr>
        <w:t>La determinación del régimen jurídico y administrativo de aplicación a los encargos que se les puedan conferir, precisando que los mismo tienen naturaleza admini</w:t>
      </w:r>
      <w:r>
        <w:rPr>
          <w:rFonts w:ascii="Arial" w:eastAsia="Arial" w:hAnsi="Arial" w:cs="Arial"/>
          <w:i/>
        </w:rPr>
        <w:t xml:space="preserve">strativa y se regirán por la normativa en vigor reguladora de los encargos a medios propios personificados, quedando excluidos del régimen jurídico de aplicación a los contratos administrativos. </w:t>
      </w:r>
    </w:p>
    <w:p w:rsidR="00FA7413" w:rsidRDefault="00D712A8">
      <w:pPr>
        <w:spacing w:after="0"/>
        <w:ind w:left="1073"/>
      </w:pPr>
      <w:r>
        <w:rPr>
          <w:rFonts w:ascii="Arial" w:eastAsia="Arial" w:hAnsi="Arial" w:cs="Arial"/>
          <w:i/>
        </w:rPr>
        <w:t xml:space="preserve"> </w:t>
      </w:r>
    </w:p>
    <w:p w:rsidR="00FA7413" w:rsidRDefault="00D712A8">
      <w:pPr>
        <w:numPr>
          <w:ilvl w:val="1"/>
          <w:numId w:val="27"/>
        </w:numPr>
        <w:spacing w:after="3" w:line="247" w:lineRule="auto"/>
        <w:ind w:right="62" w:hanging="355"/>
        <w:jc w:val="both"/>
      </w:pPr>
      <w:r>
        <w:rPr>
          <w:rFonts w:ascii="Arial" w:eastAsia="Arial" w:hAnsi="Arial" w:cs="Arial"/>
          <w:i/>
        </w:rPr>
        <w:t>La inclusión de la imposibilidad de que participen en lici</w:t>
      </w:r>
      <w:r>
        <w:rPr>
          <w:rFonts w:ascii="Arial" w:eastAsia="Arial" w:hAnsi="Arial" w:cs="Arial"/>
          <w:i/>
        </w:rPr>
        <w:t xml:space="preserve">taciones públicas convocadas por el poder adjudicador del que sean medio propio personificado, sin perjuicio de que, cuando no concurra ningún licitador, pueda encargárseles la ejecución de la prestación objeto de la misma.” </w:t>
      </w:r>
    </w:p>
    <w:p w:rsidR="00FA7413" w:rsidRDefault="00D712A8">
      <w:pPr>
        <w:spacing w:after="0"/>
        <w:ind w:left="1080"/>
      </w:pPr>
      <w:r>
        <w:rPr>
          <w:rFonts w:ascii="Arial" w:eastAsia="Arial" w:hAnsi="Arial" w:cs="Arial"/>
          <w:i/>
        </w:rPr>
        <w:t xml:space="preserve"> </w:t>
      </w:r>
    </w:p>
    <w:p w:rsidR="00FA7413" w:rsidRDefault="00D712A8">
      <w:pPr>
        <w:spacing w:after="0"/>
        <w:ind w:left="1080"/>
      </w:pPr>
      <w:r>
        <w:rPr>
          <w:rFonts w:ascii="Arial" w:eastAsia="Arial" w:hAnsi="Arial" w:cs="Arial"/>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line="248" w:lineRule="auto"/>
        <w:ind w:left="718" w:right="64" w:firstLine="350"/>
        <w:jc w:val="both"/>
      </w:pPr>
      <w:r>
        <w:rPr>
          <w:rFonts w:ascii="Arial" w:eastAsia="Arial" w:hAnsi="Arial" w:cs="Arial"/>
          <w:b/>
        </w:rPr>
        <w:t xml:space="preserve">Visto </w:t>
      </w:r>
      <w:r>
        <w:rPr>
          <w:rFonts w:ascii="Arial" w:eastAsia="Arial" w:hAnsi="Arial" w:cs="Arial"/>
        </w:rPr>
        <w:t>que</w:t>
      </w:r>
      <w:r>
        <w:rPr>
          <w:rFonts w:ascii="Arial" w:eastAsia="Arial" w:hAnsi="Arial" w:cs="Arial"/>
          <w:b/>
        </w:rPr>
        <w:t xml:space="preserve"> </w:t>
      </w:r>
      <w:r>
        <w:rPr>
          <w:rFonts w:ascii="Arial" w:eastAsia="Arial" w:hAnsi="Arial" w:cs="Arial"/>
        </w:rPr>
        <w:t xml:space="preserve">consta oficio </w:t>
      </w:r>
      <w:r>
        <w:rPr>
          <w:rFonts w:ascii="Arial" w:eastAsia="Arial" w:hAnsi="Arial" w:cs="Arial"/>
        </w:rPr>
        <w:t>de fecha 19 de mayo de 2021 firmado por la Alcaldía, con registro de salida nº 1768, en el que se solicita a la entidad “GESTUR, SA”, en el que se le solicita informe de acreditación por parte de esa entidad del cumplimiento de las condiciones previstas en</w:t>
      </w:r>
      <w:r>
        <w:rPr>
          <w:rFonts w:ascii="Arial" w:eastAsia="Arial" w:hAnsi="Arial" w:cs="Arial"/>
        </w:rPr>
        <w:t xml:space="preserve"> el art. 32.4 de la LCSP.</w:t>
      </w:r>
      <w:r>
        <w:rPr>
          <w:rFonts w:ascii="Times New Roman" w:eastAsia="Times New Roman" w:hAnsi="Times New Roman" w:cs="Times New Roman"/>
          <w:sz w:val="24"/>
        </w:rPr>
        <w:t xml:space="preserve"> </w:t>
      </w:r>
    </w:p>
    <w:p w:rsidR="00FA7413" w:rsidRDefault="00D712A8">
      <w:pPr>
        <w:spacing w:after="19"/>
        <w:ind w:left="718"/>
      </w:pPr>
      <w:r>
        <w:rPr>
          <w:rFonts w:ascii="Arial" w:eastAsia="Arial" w:hAnsi="Arial" w:cs="Arial"/>
        </w:rPr>
        <w:t xml:space="preserve"> </w:t>
      </w:r>
    </w:p>
    <w:p w:rsidR="00FA7413" w:rsidRDefault="00D712A8">
      <w:pPr>
        <w:tabs>
          <w:tab w:val="center" w:pos="718"/>
          <w:tab w:val="right" w:pos="9999"/>
        </w:tabs>
        <w:spacing w:after="11" w:line="248" w:lineRule="auto"/>
      </w:pPr>
      <w:r>
        <w:tab/>
      </w:r>
      <w:r>
        <w:rPr>
          <w:rFonts w:ascii="Arial" w:eastAsia="Arial" w:hAnsi="Arial" w:cs="Arial"/>
        </w:rPr>
        <w:t xml:space="preserve"> </w:t>
      </w:r>
      <w:r>
        <w:rPr>
          <w:rFonts w:ascii="Arial" w:eastAsia="Arial" w:hAnsi="Arial" w:cs="Arial"/>
        </w:rPr>
        <w:tab/>
        <w:t xml:space="preserve">Consta escrito de la entidad “GESTUR CANARIAS, SA”, con registro de entrada de fecha </w:t>
      </w:r>
    </w:p>
    <w:p w:rsidR="00FA7413" w:rsidRDefault="00D712A8">
      <w:pPr>
        <w:spacing w:after="0" w:line="248" w:lineRule="auto"/>
        <w:ind w:left="728" w:right="64" w:hanging="10"/>
        <w:jc w:val="both"/>
      </w:pPr>
      <w:r>
        <w:rPr>
          <w:rFonts w:ascii="Arial" w:eastAsia="Arial" w:hAnsi="Arial" w:cs="Arial"/>
        </w:rPr>
        <w:t>09 de junio de 2021 y nº, en el que se adjunta certificado de fecha 07 de junio de 2021, del Consejero Delegado de la Sociedad, que certifica que la Sociedad cumple con el art.32.4 para ser medio propio personificado del Ayuntamiento de Candelaria, del sig</w:t>
      </w:r>
      <w:r>
        <w:rPr>
          <w:rFonts w:ascii="Arial" w:eastAsia="Arial" w:hAnsi="Arial" w:cs="Arial"/>
        </w:rPr>
        <w:t xml:space="preserve">uiente tenor literal: </w:t>
      </w:r>
    </w:p>
    <w:p w:rsidR="00FA7413" w:rsidRDefault="00D712A8">
      <w:pPr>
        <w:spacing w:after="0"/>
        <w:ind w:left="718"/>
      </w:pPr>
      <w:r>
        <w:rPr>
          <w:rFonts w:ascii="Arial" w:eastAsia="Arial" w:hAnsi="Arial" w:cs="Arial"/>
        </w:rPr>
        <w:t xml:space="preserve"> </w:t>
      </w:r>
    </w:p>
    <w:p w:rsidR="00FA7413" w:rsidRDefault="00D712A8">
      <w:pPr>
        <w:spacing w:after="0"/>
        <w:ind w:left="718" w:right="9146"/>
      </w:pPr>
      <w:r>
        <w:rPr>
          <w:rFonts w:ascii="Arial" w:eastAsia="Arial" w:hAnsi="Arial" w:cs="Arial"/>
        </w:rPr>
        <w:t xml:space="preserve"> “ </w:t>
      </w:r>
      <w:r>
        <w:rPr>
          <w:rFonts w:ascii="Arial" w:eastAsia="Arial" w:hAnsi="Arial" w:cs="Arial"/>
          <w:b/>
        </w:rPr>
        <w:t xml:space="preserve">FUNDAMENTOS JURÍDICOS </w:t>
      </w:r>
    </w:p>
    <w:p w:rsidR="00FA7413" w:rsidRDefault="00D712A8">
      <w:pPr>
        <w:spacing w:after="0"/>
        <w:ind w:left="346"/>
        <w:jc w:val="center"/>
      </w:pPr>
      <w:r>
        <w:rPr>
          <w:rFonts w:ascii="Arial" w:eastAsia="Arial" w:hAnsi="Arial" w:cs="Arial"/>
          <w:b/>
        </w:rPr>
        <w:t xml:space="preserve"> </w:t>
      </w:r>
    </w:p>
    <w:p w:rsidR="00FA7413" w:rsidRDefault="00D712A8">
      <w:pPr>
        <w:pStyle w:val="Ttulo1"/>
        <w:spacing w:after="0"/>
        <w:ind w:left="1013" w:right="718"/>
      </w:pPr>
      <w:r>
        <w:t xml:space="preserve">PRIMERO </w:t>
      </w:r>
    </w:p>
    <w:p w:rsidR="00FA7413" w:rsidRDefault="00D712A8">
      <w:pPr>
        <w:spacing w:after="0"/>
        <w:ind w:left="346"/>
        <w:jc w:val="center"/>
      </w:pP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 xml:space="preserve">-Posibilidad de que el Ayuntamiento considere como medio propio personificado a una entidad del sector público autonómico. </w:t>
      </w:r>
    </w:p>
    <w:p w:rsidR="00FA7413" w:rsidRDefault="00D712A8">
      <w:pPr>
        <w:spacing w:after="0"/>
        <w:ind w:left="360"/>
      </w:pPr>
      <w:r>
        <w:rPr>
          <w:rFonts w:ascii="Arial" w:eastAsia="Arial" w:hAnsi="Arial" w:cs="Arial"/>
          <w:b/>
        </w:rPr>
        <w:t xml:space="preserve"> </w:t>
      </w:r>
    </w:p>
    <w:p w:rsidR="00FA7413" w:rsidRDefault="00D712A8">
      <w:pPr>
        <w:spacing w:after="352" w:line="248" w:lineRule="auto"/>
        <w:ind w:left="355" w:right="62" w:hanging="10"/>
        <w:jc w:val="both"/>
      </w:pPr>
      <w:r>
        <w:rPr>
          <w:rFonts w:ascii="Arial" w:eastAsia="Arial" w:hAnsi="Arial" w:cs="Arial"/>
          <w:b/>
        </w:rPr>
        <w:t xml:space="preserve"> 1.- Art. 32-Régimen jurídico de las encomiendas de gestión- de la</w:t>
      </w:r>
      <w:r>
        <w:rPr>
          <w:rFonts w:ascii="Arial" w:eastAsia="Arial" w:hAnsi="Arial" w:cs="Arial"/>
          <w:b/>
        </w:rPr>
        <w:t xml:space="preserve"> Ley 4/2012, de 25 de junio, de medidas administrativas y fiscales, dice: </w:t>
      </w:r>
    </w:p>
    <w:p w:rsidR="00FA7413" w:rsidRDefault="00D712A8">
      <w:pPr>
        <w:tabs>
          <w:tab w:val="center" w:pos="360"/>
          <w:tab w:val="center" w:pos="4224"/>
        </w:tabs>
        <w:spacing w:after="149" w:line="248" w:lineRule="auto"/>
      </w:pPr>
      <w:r>
        <w:tab/>
      </w:r>
      <w:r>
        <w:rPr>
          <w:rFonts w:ascii="Arial" w:eastAsia="Arial" w:hAnsi="Arial" w:cs="Arial"/>
          <w:b/>
          <w:color w:val="2E74B5"/>
        </w:rPr>
        <w:t xml:space="preserve"> </w:t>
      </w:r>
      <w:r>
        <w:rPr>
          <w:rFonts w:ascii="Arial" w:eastAsia="Arial" w:hAnsi="Arial" w:cs="Arial"/>
          <w:b/>
          <w:color w:val="2E74B5"/>
        </w:rPr>
        <w:tab/>
        <w:t xml:space="preserve">“ </w:t>
      </w:r>
      <w:r>
        <w:rPr>
          <w:rFonts w:ascii="Arial" w:eastAsia="Arial" w:hAnsi="Arial" w:cs="Arial"/>
        </w:rPr>
        <w:t>Artículo 32. Régimen jurídico de las encomiendas de gestión.</w:t>
      </w:r>
      <w:r>
        <w:rPr>
          <w:color w:val="2E74B5"/>
          <w:sz w:val="24"/>
        </w:rPr>
        <w:t xml:space="preserve"> </w:t>
      </w:r>
    </w:p>
    <w:p w:rsidR="00FA7413" w:rsidRDefault="00D712A8">
      <w:pPr>
        <w:spacing w:after="152" w:line="249" w:lineRule="auto"/>
        <w:ind w:left="345" w:right="62" w:firstLine="360"/>
        <w:jc w:val="both"/>
      </w:pPr>
      <w:r>
        <w:rPr>
          <w:noProof/>
        </w:rPr>
        <mc:AlternateContent>
          <mc:Choice Requires="wpg">
            <w:drawing>
              <wp:anchor distT="0" distB="0" distL="114300" distR="114300" simplePos="0" relativeHeight="251779072"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6279" name="Group 216279"/>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3772" name="Rectangle 13772"/>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3773" name="Rectangle 13773"/>
                        <wps:cNvSpPr/>
                        <wps:spPr>
                          <a:xfrm rot="-5399999">
                            <a:off x="-2094822" y="1215694"/>
                            <a:ext cx="44552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117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6279" style="width:12.7031pt;height:275.586pt;position:absolute;mso-position-horizontal-relative:page;mso-position-horizontal:absolute;margin-left:682.278pt;mso-position-vertical-relative:page;margin-top:536.334pt;" coordsize="1613,34999">
                <v:rect id="Rectangle 13772"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3773" style="position:absolute;width:44552;height:1132;left:-20948;top:1215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117 de 180 </w:t>
                        </w:r>
                      </w:p>
                    </w:txbxContent>
                  </v:textbox>
                </v:rect>
                <w10:wrap type="square"/>
              </v:group>
            </w:pict>
          </mc:Fallback>
        </mc:AlternateContent>
      </w:r>
      <w:r>
        <w:rPr>
          <w:rFonts w:ascii="Arial" w:eastAsia="Arial" w:hAnsi="Arial" w:cs="Arial"/>
        </w:rPr>
        <w:t>“</w:t>
      </w:r>
      <w:r>
        <w:rPr>
          <w:rFonts w:ascii="Arial" w:eastAsia="Arial" w:hAnsi="Arial" w:cs="Arial"/>
          <w:b/>
          <w:i/>
        </w:rPr>
        <w:t>1. Los entes, organismos y entidades del sector público que cumplan con lo establecido en el artículo 24.6 del texto refundido de la Ley de Contratos del Sector</w:t>
      </w:r>
      <w:r>
        <w:rPr>
          <w:rFonts w:ascii="Arial" w:eastAsia="Arial" w:hAnsi="Arial" w:cs="Arial"/>
          <w:b/>
          <w:i/>
        </w:rPr>
        <w:t xml:space="preserve"> Público, aprobado por Real Decreto Legislativo 3/2011, de 14 de noviembre, podrán realizar las actividades de carácter material, técnico o de servicios que le encomienden la Administración Pública de la Comunidad Autónoma de Canarias, los organismos autón</w:t>
      </w:r>
      <w:r>
        <w:rPr>
          <w:rFonts w:ascii="Arial" w:eastAsia="Arial" w:hAnsi="Arial" w:cs="Arial"/>
          <w:b/>
          <w:i/>
        </w:rPr>
        <w:t>omos dependientes de ella y los cabildos insulares en el marco de sus respectivas competencias y funciones y en las materias que constituyen el objeto social de los mismos, y especialmente, aquellas que sean urgentes o que se ordenen como consecuencia de l</w:t>
      </w:r>
      <w:r>
        <w:rPr>
          <w:rFonts w:ascii="Arial" w:eastAsia="Arial" w:hAnsi="Arial" w:cs="Arial"/>
          <w:b/>
          <w:i/>
        </w:rPr>
        <w:t>as situaciones de emergencia que se declaren.</w:t>
      </w:r>
      <w:r>
        <w:rPr>
          <w:rFonts w:ascii="Times New Roman" w:eastAsia="Times New Roman" w:hAnsi="Times New Roman" w:cs="Times New Roman"/>
          <w:sz w:val="24"/>
        </w:rPr>
        <w:t xml:space="preserve"> </w:t>
      </w:r>
    </w:p>
    <w:p w:rsidR="00FA7413" w:rsidRDefault="00D712A8">
      <w:pPr>
        <w:numPr>
          <w:ilvl w:val="0"/>
          <w:numId w:val="28"/>
        </w:numPr>
        <w:spacing w:after="154" w:line="247" w:lineRule="auto"/>
        <w:ind w:right="62" w:firstLine="360"/>
        <w:jc w:val="both"/>
      </w:pPr>
      <w:r>
        <w:rPr>
          <w:rFonts w:ascii="Arial" w:eastAsia="Arial" w:hAnsi="Arial" w:cs="Arial"/>
          <w:i/>
        </w:rPr>
        <w:t>Las encomiendas de gestión a que se refieren los apartados anteriores se formalizarán por escrito y regularán mediante los instrumentos jurídicos, que deberán ser autorizados por el titular del departamento al</w:t>
      </w:r>
      <w:r>
        <w:rPr>
          <w:rFonts w:ascii="Arial" w:eastAsia="Arial" w:hAnsi="Arial" w:cs="Arial"/>
          <w:i/>
        </w:rPr>
        <w:t xml:space="preserve"> que estén adscritas las entidades encomendadas. Deberán incluir, al menos, una relación detallada de la actividad o actividades a las que afecten y su plazo de realización.</w:t>
      </w:r>
      <w:r>
        <w:rPr>
          <w:rFonts w:ascii="Times New Roman" w:eastAsia="Times New Roman" w:hAnsi="Times New Roman" w:cs="Times New Roman"/>
          <w:sz w:val="24"/>
        </w:rPr>
        <w:t xml:space="preserve"> </w:t>
      </w:r>
    </w:p>
    <w:p w:rsidR="00FA7413" w:rsidRDefault="00D712A8">
      <w:pPr>
        <w:numPr>
          <w:ilvl w:val="0"/>
          <w:numId w:val="28"/>
        </w:numPr>
        <w:spacing w:after="154" w:line="247" w:lineRule="auto"/>
        <w:ind w:right="62" w:firstLine="360"/>
        <w:jc w:val="both"/>
      </w:pPr>
      <w:r>
        <w:rPr>
          <w:rFonts w:ascii="Arial" w:eastAsia="Arial" w:hAnsi="Arial" w:cs="Arial"/>
          <w:i/>
        </w:rPr>
        <w:t>La encomienda de dichas actividades no podrá implicar, en ningún caso, la atribuc</w:t>
      </w:r>
      <w:r>
        <w:rPr>
          <w:rFonts w:ascii="Arial" w:eastAsia="Arial" w:hAnsi="Arial" w:cs="Arial"/>
          <w:i/>
        </w:rPr>
        <w:t>ión a las entidades encomendadas de potestades, funciones o facultades sujetas a Derecho Administrativo propias de la Administración.</w:t>
      </w:r>
      <w:r>
        <w:rPr>
          <w:rFonts w:ascii="Times New Roman" w:eastAsia="Times New Roman" w:hAnsi="Times New Roman" w:cs="Times New Roman"/>
          <w:sz w:val="24"/>
        </w:rPr>
        <w:t xml:space="preserve"> </w:t>
      </w:r>
    </w:p>
    <w:p w:rsidR="00FA7413" w:rsidRDefault="00D712A8">
      <w:pPr>
        <w:numPr>
          <w:ilvl w:val="0"/>
          <w:numId w:val="28"/>
        </w:numPr>
        <w:spacing w:after="154" w:line="247" w:lineRule="auto"/>
        <w:ind w:right="62" w:firstLine="360"/>
        <w:jc w:val="both"/>
      </w:pPr>
      <w:r>
        <w:rPr>
          <w:rFonts w:ascii="Arial" w:eastAsia="Arial" w:hAnsi="Arial" w:cs="Arial"/>
          <w:i/>
        </w:rPr>
        <w:t>La comunicación del encargo de una actuación específica supondrá, para las entidades encomendadas, la orden para iniciarl</w:t>
      </w:r>
      <w:r>
        <w:rPr>
          <w:rFonts w:ascii="Arial" w:eastAsia="Arial" w:hAnsi="Arial" w:cs="Arial"/>
          <w:i/>
        </w:rPr>
        <w:t>a, debiendo realizar su ejecución a partir de dicha notificación, y en los términos previstos en el correspondiente instrumento jurídico y en el propio encargo.</w:t>
      </w:r>
      <w:r>
        <w:rPr>
          <w:rFonts w:ascii="Times New Roman" w:eastAsia="Times New Roman" w:hAnsi="Times New Roman" w:cs="Times New Roman"/>
          <w:sz w:val="24"/>
        </w:rPr>
        <w:t xml:space="preserve"> </w:t>
      </w:r>
    </w:p>
    <w:p w:rsidR="00FA7413" w:rsidRDefault="00D712A8">
      <w:pPr>
        <w:numPr>
          <w:ilvl w:val="0"/>
          <w:numId w:val="28"/>
        </w:numPr>
        <w:spacing w:after="154" w:line="247" w:lineRule="auto"/>
        <w:ind w:right="62" w:firstLine="360"/>
        <w:jc w:val="both"/>
      </w:pPr>
      <w:r>
        <w:rPr>
          <w:rFonts w:ascii="Arial" w:eastAsia="Arial" w:hAnsi="Arial" w:cs="Arial"/>
          <w:i/>
        </w:rPr>
        <w:t xml:space="preserve">La tramitación del encargo podrá ultimarse anticipadamente cuando su ejecución deba iniciarse </w:t>
      </w:r>
      <w:r>
        <w:rPr>
          <w:rFonts w:ascii="Arial" w:eastAsia="Arial" w:hAnsi="Arial" w:cs="Arial"/>
          <w:i/>
        </w:rPr>
        <w:t>en el ejercicio siguiente. En tales casos, el escrito de encargo de la encomienda deberá contener expresa referencia a que la realización del encargo queda sujeta a la condición de que en el ejercicio siguiente exista crédito adecuado y suficiente para fin</w:t>
      </w:r>
      <w:r>
        <w:rPr>
          <w:rFonts w:ascii="Arial" w:eastAsia="Arial" w:hAnsi="Arial" w:cs="Arial"/>
          <w:i/>
        </w:rPr>
        <w:t>anciar las actuaciones objeto del encargo. La efectiva ejecución de la encomienda no comenzará hasta que, iniciado el ejercicio siguiente y contraído el crédito, se curse la correspondiente comunicación al respecto.</w:t>
      </w:r>
      <w:r>
        <w:rPr>
          <w:rFonts w:ascii="Times New Roman" w:eastAsia="Times New Roman" w:hAnsi="Times New Roman" w:cs="Times New Roman"/>
          <w:sz w:val="24"/>
        </w:rPr>
        <w:t xml:space="preserve"> </w:t>
      </w:r>
    </w:p>
    <w:p w:rsidR="00FA7413" w:rsidRDefault="00D712A8">
      <w:pPr>
        <w:numPr>
          <w:ilvl w:val="0"/>
          <w:numId w:val="28"/>
        </w:numPr>
        <w:spacing w:after="112" w:line="247" w:lineRule="auto"/>
        <w:ind w:right="62" w:firstLine="360"/>
        <w:jc w:val="both"/>
      </w:pPr>
      <w:r>
        <w:rPr>
          <w:rFonts w:ascii="Arial" w:eastAsia="Arial" w:hAnsi="Arial" w:cs="Arial"/>
          <w:i/>
        </w:rPr>
        <w:t>El importe de las actuaciones objeto de</w:t>
      </w:r>
      <w:r>
        <w:rPr>
          <w:rFonts w:ascii="Arial" w:eastAsia="Arial" w:hAnsi="Arial" w:cs="Arial"/>
          <w:i/>
        </w:rPr>
        <w:t xml:space="preserve"> encomienda se determinará atendiendo a costes reales, tanto directos como indirectos, necesarios para su realización, aplicando a las unidades ejecutadas las tarifas que estuviesen aprobadas, o, en su defecto, los precios que figuren en el presupuesto de </w:t>
      </w:r>
      <w:r>
        <w:rPr>
          <w:rFonts w:ascii="Arial" w:eastAsia="Arial" w:hAnsi="Arial" w:cs="Arial"/>
          <w:i/>
        </w:rPr>
        <w:t>ejecución previsto en la encomienda.</w:t>
      </w:r>
      <w:r>
        <w:rPr>
          <w:rFonts w:ascii="Times New Roman" w:eastAsia="Times New Roman" w:hAnsi="Times New Roman" w:cs="Times New Roman"/>
          <w:sz w:val="24"/>
        </w:rPr>
        <w:t xml:space="preserve"> </w:t>
      </w:r>
    </w:p>
    <w:p w:rsidR="00FA7413" w:rsidRDefault="00D712A8">
      <w:pPr>
        <w:numPr>
          <w:ilvl w:val="0"/>
          <w:numId w:val="28"/>
        </w:numPr>
        <w:spacing w:after="154" w:line="247" w:lineRule="auto"/>
        <w:ind w:right="62" w:firstLine="360"/>
        <w:jc w:val="both"/>
      </w:pPr>
      <w:r>
        <w:rPr>
          <w:rFonts w:ascii="Arial" w:eastAsia="Arial" w:hAnsi="Arial" w:cs="Arial"/>
          <w:i/>
        </w:rPr>
        <w:t>En el caso de cofinanciarse con fondos europeos, se deberá hacer constar dicha circunstancia en la encomienda, así como la obligatoriedad de cumplimiento de la normativa europea afectada.</w:t>
      </w:r>
      <w:r>
        <w:rPr>
          <w:rFonts w:ascii="Times New Roman" w:eastAsia="Times New Roman" w:hAnsi="Times New Roman" w:cs="Times New Roman"/>
          <w:sz w:val="24"/>
        </w:rPr>
        <w:t xml:space="preserve"> </w:t>
      </w:r>
    </w:p>
    <w:p w:rsidR="00FA7413" w:rsidRDefault="00D712A8">
      <w:pPr>
        <w:numPr>
          <w:ilvl w:val="0"/>
          <w:numId w:val="28"/>
        </w:numPr>
        <w:spacing w:after="154" w:line="247" w:lineRule="auto"/>
        <w:ind w:right="62" w:firstLine="360"/>
        <w:jc w:val="both"/>
      </w:pPr>
      <w:r>
        <w:rPr>
          <w:rFonts w:ascii="Arial" w:eastAsia="Arial" w:hAnsi="Arial" w:cs="Arial"/>
          <w:i/>
        </w:rPr>
        <w:t>Cuando en el ejercicio del co</w:t>
      </w:r>
      <w:r>
        <w:rPr>
          <w:rFonts w:ascii="Arial" w:eastAsia="Arial" w:hAnsi="Arial" w:cs="Arial"/>
          <w:i/>
        </w:rPr>
        <w:t>ntrol financiero o de auditoría pública, la Intervención General de la Administración Pública de la Comunidad Autónoma de Canarias detectase el abono a la entidad encomendada de cantidades que excedan de los gastos, directos e indirectos, del encargo reali</w:t>
      </w:r>
      <w:r>
        <w:rPr>
          <w:rFonts w:ascii="Arial" w:eastAsia="Arial" w:hAnsi="Arial" w:cs="Arial"/>
          <w:i/>
        </w:rPr>
        <w:t>zado, o no se hubiera cumplido con el objeto del encargo, ésta emitirá un informe dirigido al órgano que realizó la encomienda para que proceda al inicio del oportuno expediente de reintegro o manifieste la discrepancia con su incoación.</w:t>
      </w:r>
      <w:r>
        <w:rPr>
          <w:rFonts w:ascii="Times New Roman" w:eastAsia="Times New Roman" w:hAnsi="Times New Roman" w:cs="Times New Roman"/>
          <w:sz w:val="24"/>
        </w:rPr>
        <w:t xml:space="preserve"> </w:t>
      </w:r>
    </w:p>
    <w:p w:rsidR="00FA7413" w:rsidRDefault="00D712A8">
      <w:pPr>
        <w:numPr>
          <w:ilvl w:val="0"/>
          <w:numId w:val="28"/>
        </w:numPr>
        <w:spacing w:after="154" w:line="247" w:lineRule="auto"/>
        <w:ind w:right="62" w:firstLine="360"/>
        <w:jc w:val="both"/>
      </w:pPr>
      <w:r>
        <w:rPr>
          <w:rFonts w:ascii="Arial" w:eastAsia="Arial" w:hAnsi="Arial" w:cs="Arial"/>
          <w:i/>
        </w:rPr>
        <w:t xml:space="preserve">El procedimiento </w:t>
      </w:r>
      <w:r>
        <w:rPr>
          <w:rFonts w:ascii="Arial" w:eastAsia="Arial" w:hAnsi="Arial" w:cs="Arial"/>
          <w:i/>
        </w:rPr>
        <w:t>de reintegro se regirá por las disposiciones generales sobre procedimientos administrativos contenidas en el título VI de la Ley 30/1992, de 26 de noviembre, de Régimen Jurídico de las Administraciones Públicas y del Procedimiento Administrativo Común.</w:t>
      </w:r>
      <w:r>
        <w:rPr>
          <w:rFonts w:ascii="Times New Roman" w:eastAsia="Times New Roman" w:hAnsi="Times New Roman" w:cs="Times New Roman"/>
          <w:sz w:val="24"/>
        </w:rPr>
        <w:t xml:space="preserve"> </w:t>
      </w:r>
    </w:p>
    <w:p w:rsidR="00FA7413" w:rsidRDefault="00D712A8">
      <w:pPr>
        <w:numPr>
          <w:ilvl w:val="0"/>
          <w:numId w:val="28"/>
        </w:numPr>
        <w:spacing w:after="153" w:line="247" w:lineRule="auto"/>
        <w:ind w:right="62" w:firstLine="360"/>
        <w:jc w:val="both"/>
      </w:pPr>
      <w:r>
        <w:rPr>
          <w:rFonts w:ascii="Arial" w:eastAsia="Arial" w:hAnsi="Arial" w:cs="Arial"/>
          <w:i/>
        </w:rPr>
        <w:t>La</w:t>
      </w:r>
      <w:r>
        <w:rPr>
          <w:rFonts w:ascii="Arial" w:eastAsia="Arial" w:hAnsi="Arial" w:cs="Arial"/>
          <w:i/>
        </w:rPr>
        <w:t>s cantidades a reintegrar tendrán la consideración de ingresos de Derecho Público, siéndoles aplicables las normas sobre recaudación contenidas en la legislación tributaria.</w:t>
      </w:r>
      <w:r>
        <w:rPr>
          <w:rFonts w:ascii="Arial" w:eastAsia="Arial" w:hAnsi="Arial" w:cs="Arial"/>
        </w:rPr>
        <w:t>”</w:t>
      </w:r>
      <w:r>
        <w:rPr>
          <w:rFonts w:ascii="Times New Roman" w:eastAsia="Times New Roman" w:hAnsi="Times New Roman" w:cs="Times New Roman"/>
          <w:sz w:val="24"/>
        </w:rPr>
        <w:t xml:space="preserve">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pStyle w:val="Ttulo1"/>
        <w:spacing w:after="0"/>
        <w:ind w:left="1013"/>
      </w:pPr>
      <w:r>
        <w:t xml:space="preserve">SEGUNDO </w:t>
      </w:r>
    </w:p>
    <w:p w:rsidR="00FA7413" w:rsidRDefault="00D712A8">
      <w:pPr>
        <w:spacing w:after="0"/>
        <w:ind w:left="1066"/>
        <w:jc w:val="center"/>
      </w:pPr>
      <w:r>
        <w:rPr>
          <w:rFonts w:ascii="Arial" w:eastAsia="Arial" w:hAnsi="Arial" w:cs="Arial"/>
          <w:b/>
        </w:rPr>
        <w:t xml:space="preserve"> </w:t>
      </w:r>
    </w:p>
    <w:p w:rsidR="00FA7413" w:rsidRDefault="00D712A8">
      <w:pPr>
        <w:pBdr>
          <w:bottom w:val="single" w:sz="6" w:space="0" w:color="CCCCCC"/>
        </w:pBdr>
        <w:shd w:val="clear" w:color="auto" w:fill="F9F9F9"/>
        <w:spacing w:after="231" w:line="216" w:lineRule="auto"/>
        <w:ind w:left="355" w:right="56" w:hanging="10"/>
        <w:jc w:val="both"/>
      </w:pPr>
      <w:r>
        <w:rPr>
          <w:noProof/>
        </w:rPr>
        <mc:AlternateContent>
          <mc:Choice Requires="wpg">
            <w:drawing>
              <wp:anchor distT="0" distB="0" distL="114300" distR="114300" simplePos="0" relativeHeight="251780096"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2385" name="Group 212385"/>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3900" name="Rectangle 13900"/>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3901" name="Rectangle 13901"/>
                        <wps:cNvSpPr/>
                        <wps:spPr>
                          <a:xfrm rot="-5399999">
                            <a:off x="-2094822" y="1215694"/>
                            <a:ext cx="44552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118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2385" style="width:12.7031pt;height:275.586pt;position:absolute;mso-position-horizontal-relative:page;mso-position-horizontal:absolute;margin-left:682.278pt;mso-position-vertical-relative:page;margin-top:536.334pt;" coordsize="1613,34999">
                <v:rect id="Rectangle 13900"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3901" style="position:absolute;width:44552;height:1132;left:-20948;top:1215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118 de 180 </w:t>
                        </w:r>
                      </w:p>
                    </w:txbxContent>
                  </v:textbox>
                </v:rect>
                <w10:wrap type="square"/>
              </v:group>
            </w:pict>
          </mc:Fallback>
        </mc:AlternateContent>
      </w:r>
      <w:r>
        <w:rPr>
          <w:rFonts w:ascii="Arial" w:eastAsia="Arial" w:hAnsi="Arial" w:cs="Arial"/>
          <w:b/>
        </w:rPr>
        <w:t xml:space="preserve"> Ley 9/2017, de 8 de noviembre, de Contratos del Sector Públi</w:t>
      </w:r>
      <w:r>
        <w:rPr>
          <w:rFonts w:ascii="Arial" w:eastAsia="Arial" w:hAnsi="Arial" w:cs="Arial"/>
          <w:b/>
        </w:rPr>
        <w:t>co, por la que se transponen al ordenamiento jurídico español las Directivas del Parlamento Europeo y del Consejo 2014/23/UE y 2014/24/UE, de 26 de febrero de 2014.</w:t>
      </w:r>
      <w:r>
        <w:rPr>
          <w:sz w:val="26"/>
        </w:rPr>
        <w:t xml:space="preserve"> </w:t>
      </w:r>
    </w:p>
    <w:p w:rsidR="00FA7413" w:rsidRDefault="00D712A8">
      <w:pPr>
        <w:spacing w:after="95"/>
        <w:ind w:left="360"/>
      </w:pPr>
      <w:r>
        <w:rPr>
          <w:rFonts w:ascii="Arial" w:eastAsia="Arial" w:hAnsi="Arial" w:cs="Arial"/>
        </w:rPr>
        <w:t xml:space="preserve"> </w:t>
      </w:r>
    </w:p>
    <w:p w:rsidR="00FA7413" w:rsidRDefault="00D712A8">
      <w:pPr>
        <w:spacing w:after="171" w:line="248" w:lineRule="auto"/>
        <w:ind w:left="1426" w:right="62" w:hanging="360"/>
        <w:jc w:val="both"/>
      </w:pPr>
      <w:r>
        <w:rPr>
          <w:rFonts w:ascii="Arial" w:eastAsia="Arial" w:hAnsi="Arial" w:cs="Arial"/>
          <w:b/>
        </w:rPr>
        <w:t>A) Art. 32.4-</w:t>
      </w:r>
      <w:r>
        <w:rPr>
          <w:rFonts w:ascii="Arial" w:eastAsia="Arial" w:hAnsi="Arial" w:cs="Arial"/>
          <w:b/>
        </w:rPr>
        <w:t xml:space="preserve">Encargos de los poderes adjudicadores a medios propios personificados, que dice: </w:t>
      </w:r>
    </w:p>
    <w:p w:rsidR="00FA7413" w:rsidRDefault="00D712A8">
      <w:pPr>
        <w:spacing w:after="337" w:line="247" w:lineRule="auto"/>
        <w:ind w:left="345" w:right="62" w:firstLine="360"/>
        <w:jc w:val="both"/>
      </w:pPr>
      <w:r>
        <w:rPr>
          <w:rFonts w:ascii="Arial" w:eastAsia="Arial" w:hAnsi="Arial" w:cs="Arial"/>
          <w:b/>
        </w:rPr>
        <w:t>“</w:t>
      </w:r>
      <w:r>
        <w:rPr>
          <w:rFonts w:ascii="Arial" w:eastAsia="Arial" w:hAnsi="Arial" w:cs="Arial"/>
          <w:i/>
        </w:rPr>
        <w:t>Tendrán la consideración de medio propio personificado respecto de dos o más poderes adjudicadores que sean independientes entre sí aquellas personas jurídicas, de derecho p</w:t>
      </w:r>
      <w:r>
        <w:rPr>
          <w:rFonts w:ascii="Arial" w:eastAsia="Arial" w:hAnsi="Arial" w:cs="Arial"/>
          <w:i/>
        </w:rPr>
        <w:t>úblico o de derecho privado, que cumplan todos y cada uno de los requisitos que se establecen a continuación:</w:t>
      </w:r>
      <w:r>
        <w:rPr>
          <w:rFonts w:ascii="Times New Roman" w:eastAsia="Times New Roman" w:hAnsi="Times New Roman" w:cs="Times New Roman"/>
          <w:sz w:val="24"/>
        </w:rPr>
        <w:t xml:space="preserve"> </w:t>
      </w:r>
    </w:p>
    <w:p w:rsidR="00FA7413" w:rsidRDefault="00D712A8">
      <w:pPr>
        <w:spacing w:after="11" w:line="247" w:lineRule="auto"/>
        <w:ind w:left="730" w:right="62" w:hanging="10"/>
        <w:jc w:val="both"/>
      </w:pPr>
      <w:r>
        <w:rPr>
          <w:rFonts w:ascii="Arial" w:eastAsia="Arial" w:hAnsi="Arial" w:cs="Arial"/>
          <w:i/>
        </w:rPr>
        <w:t>a) Que los poderes adjudicadores que puedan conferirle encargos ejerzan sobre el ente desti-</w:t>
      </w:r>
    </w:p>
    <w:p w:rsidR="00FA7413" w:rsidRDefault="00D712A8">
      <w:pPr>
        <w:spacing w:after="174" w:line="247" w:lineRule="auto"/>
        <w:ind w:left="355" w:right="62" w:hanging="10"/>
        <w:jc w:val="both"/>
      </w:pPr>
      <w:r>
        <w:rPr>
          <w:rFonts w:ascii="Arial" w:eastAsia="Arial" w:hAnsi="Arial" w:cs="Arial"/>
          <w:i/>
        </w:rPr>
        <w:t xml:space="preserve">natario del mismo un control conjunto análogo al que ostentarían sobre sus propios servicios o unidades. </w:t>
      </w:r>
    </w:p>
    <w:p w:rsidR="00FA7413" w:rsidRDefault="00D712A8">
      <w:pPr>
        <w:spacing w:after="347" w:line="249" w:lineRule="auto"/>
        <w:ind w:left="10" w:right="61" w:hanging="10"/>
        <w:jc w:val="right"/>
      </w:pPr>
      <w:r>
        <w:rPr>
          <w:rFonts w:ascii="Arial" w:eastAsia="Arial" w:hAnsi="Arial" w:cs="Arial"/>
          <w:i/>
        </w:rPr>
        <w:t xml:space="preserve">Se entenderá que existe control conjunto cuando se cumplan todas las condiciones siguientes: </w:t>
      </w:r>
    </w:p>
    <w:p w:rsidR="00FA7413" w:rsidRDefault="00D712A8">
      <w:pPr>
        <w:spacing w:after="172" w:line="247" w:lineRule="auto"/>
        <w:ind w:left="345" w:right="62" w:firstLine="360"/>
        <w:jc w:val="both"/>
      </w:pPr>
      <w:r>
        <w:rPr>
          <w:rFonts w:ascii="Arial" w:eastAsia="Arial" w:hAnsi="Arial" w:cs="Arial"/>
          <w:i/>
        </w:rPr>
        <w:t xml:space="preserve">1.º Que en los órganos decisorios del ente destinatario </w:t>
      </w:r>
      <w:r>
        <w:rPr>
          <w:rFonts w:ascii="Arial" w:eastAsia="Arial" w:hAnsi="Arial" w:cs="Arial"/>
          <w:i/>
        </w:rPr>
        <w:t xml:space="preserve">del encargo estén representados todos los entes que puedan conferirle encargos, pudiendo cada representante representar a varios de estos últimos o a la totalidad de ellos. </w:t>
      </w:r>
    </w:p>
    <w:p w:rsidR="00FA7413" w:rsidRDefault="00D712A8">
      <w:pPr>
        <w:spacing w:after="172" w:line="247" w:lineRule="auto"/>
        <w:ind w:left="345" w:right="62" w:firstLine="360"/>
        <w:jc w:val="both"/>
      </w:pPr>
      <w:r>
        <w:rPr>
          <w:rFonts w:ascii="Arial" w:eastAsia="Arial" w:hAnsi="Arial" w:cs="Arial"/>
          <w:i/>
        </w:rPr>
        <w:t>2.º Que estos últimos puedan ejercer directa y conjuntamente una influencia decisi</w:t>
      </w:r>
      <w:r>
        <w:rPr>
          <w:rFonts w:ascii="Arial" w:eastAsia="Arial" w:hAnsi="Arial" w:cs="Arial"/>
          <w:i/>
        </w:rPr>
        <w:t xml:space="preserve">va sobre los objetivos estratégicos y sobre las decisiones significativas del ente destinatario del encargo. </w:t>
      </w:r>
    </w:p>
    <w:p w:rsidR="00FA7413" w:rsidRDefault="00D712A8">
      <w:pPr>
        <w:spacing w:after="112" w:line="247" w:lineRule="auto"/>
        <w:ind w:left="345" w:right="62" w:firstLine="360"/>
        <w:jc w:val="both"/>
      </w:pPr>
      <w:r>
        <w:rPr>
          <w:rFonts w:ascii="Arial" w:eastAsia="Arial" w:hAnsi="Arial" w:cs="Arial"/>
          <w:i/>
        </w:rPr>
        <w:t xml:space="preserve">3.º Que el ente destinatario del encargo no persiga intereses contrarios a los intereses de los entes que puedan conferirle encargos. </w:t>
      </w:r>
    </w:p>
    <w:p w:rsidR="00FA7413" w:rsidRDefault="00D712A8">
      <w:pPr>
        <w:spacing w:after="174" w:line="247" w:lineRule="auto"/>
        <w:ind w:left="345" w:right="62" w:firstLine="360"/>
        <w:jc w:val="both"/>
      </w:pPr>
      <w:r>
        <w:rPr>
          <w:rFonts w:ascii="Arial" w:eastAsia="Arial" w:hAnsi="Arial" w:cs="Arial"/>
          <w:i/>
        </w:rPr>
        <w:t>La compensa</w:t>
      </w:r>
      <w:r>
        <w:rPr>
          <w:rFonts w:ascii="Arial" w:eastAsia="Arial" w:hAnsi="Arial" w:cs="Arial"/>
          <w:i/>
        </w:rPr>
        <w:t>ción se establecerá, por referencia a tarifas aprobadas por la entidad pública de la que depende el medio propio personificado para las actividades objeto de encargo realizadas por el medio propio directamente y, en la forma que reglamentariamente se deter</w:t>
      </w:r>
      <w:r>
        <w:rPr>
          <w:rFonts w:ascii="Arial" w:eastAsia="Arial" w:hAnsi="Arial" w:cs="Arial"/>
          <w:i/>
        </w:rPr>
        <w:t>mine, atendiendo al coste efectivo soportado por el medio propio para las actividades objeto del encargo que se subcontraten con empresarios particulares en los casos en que este coste sea inferior al resultante de aplicar las tarifas a las actividades sub</w:t>
      </w:r>
      <w:r>
        <w:rPr>
          <w:rFonts w:ascii="Arial" w:eastAsia="Arial" w:hAnsi="Arial" w:cs="Arial"/>
          <w:i/>
        </w:rPr>
        <w:t xml:space="preserve">contratadas. </w:t>
      </w:r>
    </w:p>
    <w:p w:rsidR="00FA7413" w:rsidRDefault="00D712A8">
      <w:pPr>
        <w:spacing w:after="174" w:line="247" w:lineRule="auto"/>
        <w:ind w:left="345" w:right="62" w:firstLine="360"/>
        <w:jc w:val="both"/>
      </w:pPr>
      <w:r>
        <w:rPr>
          <w:rFonts w:ascii="Arial" w:eastAsia="Arial" w:hAnsi="Arial" w:cs="Arial"/>
          <w:i/>
        </w:rPr>
        <w:t xml:space="preserve">Dichas tarifas se calcularán de manera que representen los costes reales de realización de las unidades producidas directamente por el medio propio. </w:t>
      </w:r>
    </w:p>
    <w:p w:rsidR="00FA7413" w:rsidRDefault="00D712A8">
      <w:pPr>
        <w:numPr>
          <w:ilvl w:val="0"/>
          <w:numId w:val="29"/>
        </w:numPr>
        <w:spacing w:after="189" w:line="247" w:lineRule="auto"/>
        <w:ind w:right="62" w:firstLine="360"/>
        <w:jc w:val="both"/>
      </w:pPr>
      <w:r>
        <w:rPr>
          <w:rFonts w:ascii="Arial" w:eastAsia="Arial" w:hAnsi="Arial" w:cs="Arial"/>
          <w:i/>
        </w:rPr>
        <w:t>Que más del 80 por ciento de las actividades del ente destinatario del encargo se lleven a c</w:t>
      </w:r>
      <w:r>
        <w:rPr>
          <w:rFonts w:ascii="Arial" w:eastAsia="Arial" w:hAnsi="Arial" w:cs="Arial"/>
          <w:i/>
        </w:rPr>
        <w:t>abo en el ejercicio de los cometidos que le han sido confiados por los poderes adjudicadores que lo controlan o por otras personas jurídicas controladas por los mismos poderes adjudicadores. El cálculo del 80 por ciento se hará de acuerdo con lo establecid</w:t>
      </w:r>
      <w:r>
        <w:rPr>
          <w:rFonts w:ascii="Arial" w:eastAsia="Arial" w:hAnsi="Arial" w:cs="Arial"/>
          <w:i/>
        </w:rPr>
        <w:t xml:space="preserve">o en la letra b) del apartado 2 de este artículo. </w:t>
      </w:r>
    </w:p>
    <w:p w:rsidR="00FA7413" w:rsidRDefault="00D712A8">
      <w:pPr>
        <w:numPr>
          <w:ilvl w:val="0"/>
          <w:numId w:val="29"/>
        </w:numPr>
        <w:spacing w:after="329" w:line="247" w:lineRule="auto"/>
        <w:ind w:right="62" w:firstLine="360"/>
        <w:jc w:val="both"/>
      </w:pPr>
      <w:r>
        <w:rPr>
          <w:rFonts w:ascii="Arial" w:eastAsia="Arial" w:hAnsi="Arial" w:cs="Arial"/>
          <w:i/>
        </w:rPr>
        <w:t>Que cumplan los requisitos que establece este artículo en su apartado 2 letras c) y d)</w:t>
      </w:r>
      <w:r>
        <w:rPr>
          <w:rFonts w:ascii="Arial" w:eastAsia="Arial" w:hAnsi="Arial" w:cs="Arial"/>
        </w:rPr>
        <w:t>.”</w:t>
      </w:r>
      <w:r>
        <w:rPr>
          <w:rFonts w:ascii="Times New Roman" w:eastAsia="Times New Roman" w:hAnsi="Times New Roman" w:cs="Times New Roman"/>
          <w:sz w:val="24"/>
        </w:rPr>
        <w:t xml:space="preserve"> </w:t>
      </w:r>
    </w:p>
    <w:p w:rsidR="00FA7413" w:rsidRDefault="00D712A8">
      <w:pPr>
        <w:spacing w:after="352" w:line="248" w:lineRule="auto"/>
        <w:ind w:left="355" w:right="64" w:hanging="10"/>
        <w:jc w:val="both"/>
      </w:pPr>
      <w:r>
        <w:rPr>
          <w:rFonts w:ascii="Arial" w:eastAsia="Arial" w:hAnsi="Arial" w:cs="Arial"/>
        </w:rPr>
        <w:t xml:space="preserve">B) Art. 32- Encargos de los poderes adjudicadores a medios propios personificados- apartado 2, letras c) y d). </w:t>
      </w:r>
    </w:p>
    <w:p w:rsidR="00FA7413" w:rsidRDefault="00D712A8">
      <w:pPr>
        <w:spacing w:after="152" w:line="249" w:lineRule="auto"/>
        <w:ind w:left="355" w:right="62" w:hanging="10"/>
        <w:jc w:val="both"/>
      </w:pPr>
      <w:r>
        <w:rPr>
          <w:noProof/>
        </w:rPr>
        <mc:AlternateContent>
          <mc:Choice Requires="wpg">
            <w:drawing>
              <wp:anchor distT="0" distB="0" distL="114300" distR="114300" simplePos="0" relativeHeight="251781120"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6295" name="Group 216295"/>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4010" name="Rectangle 14010"/>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4011" name="Rectangle 14011"/>
                        <wps:cNvSpPr/>
                        <wps:spPr>
                          <a:xfrm rot="-5399999">
                            <a:off x="-2094822" y="1215694"/>
                            <a:ext cx="44552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119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6295" style="width:12.7031pt;height:275.586pt;position:absolute;mso-position-horizontal-relative:page;mso-position-horizontal:absolute;margin-left:682.278pt;mso-position-vertical-relative:page;margin-top:536.334pt;" coordsize="1613,34999">
                <v:rect id="Rectangle 14010"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4011" style="position:absolute;width:44552;height:1132;left:-20948;top:12156;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119 de 180 </w:t>
                        </w:r>
                      </w:p>
                    </w:txbxContent>
                  </v:textbox>
                </v:rect>
                <w10:wrap type="square"/>
              </v:group>
            </w:pict>
          </mc:Fallback>
        </mc:AlternateContent>
      </w:r>
      <w:r>
        <w:rPr>
          <w:rFonts w:ascii="Arial" w:eastAsia="Arial" w:hAnsi="Arial" w:cs="Arial"/>
          <w:b/>
        </w:rPr>
        <w:t xml:space="preserve"> “</w:t>
      </w:r>
      <w:r>
        <w:rPr>
          <w:rFonts w:ascii="Arial" w:eastAsia="Arial" w:hAnsi="Arial" w:cs="Arial"/>
          <w:b/>
          <w:i/>
        </w:rPr>
        <w:t>2. Tendrán la consideración de medio propio personificado r</w:t>
      </w:r>
      <w:r>
        <w:rPr>
          <w:rFonts w:ascii="Arial" w:eastAsia="Arial" w:hAnsi="Arial" w:cs="Arial"/>
          <w:b/>
          <w:i/>
        </w:rPr>
        <w:t>especto de una única entidad concreta del sector público aquellas personas jurídicas, de derecho público o de derecho privado, que cumplan todos y cada uno de los requisitos que se establecen a continuación:</w:t>
      </w:r>
      <w:r>
        <w:rPr>
          <w:color w:val="2E74B5"/>
          <w:sz w:val="24"/>
        </w:rPr>
        <w:t xml:space="preserve"> </w:t>
      </w:r>
    </w:p>
    <w:p w:rsidR="00FA7413" w:rsidRDefault="00D712A8">
      <w:pPr>
        <w:numPr>
          <w:ilvl w:val="0"/>
          <w:numId w:val="30"/>
        </w:numPr>
        <w:spacing w:after="12" w:line="249" w:lineRule="auto"/>
        <w:ind w:right="61" w:firstLine="360"/>
        <w:jc w:val="both"/>
      </w:pPr>
      <w:r>
        <w:rPr>
          <w:rFonts w:ascii="Arial" w:eastAsia="Arial" w:hAnsi="Arial" w:cs="Arial"/>
          <w:i/>
        </w:rPr>
        <w:t xml:space="preserve">Cuando el ente destinatario del encargo sea un </w:t>
      </w:r>
      <w:r>
        <w:rPr>
          <w:rFonts w:ascii="Arial" w:eastAsia="Arial" w:hAnsi="Arial" w:cs="Arial"/>
          <w:i/>
        </w:rPr>
        <w:t xml:space="preserve">ente de personificación jurídico-privada, </w:t>
      </w:r>
    </w:p>
    <w:p w:rsidR="00FA7413" w:rsidRDefault="00D712A8">
      <w:pPr>
        <w:spacing w:after="149" w:line="247" w:lineRule="auto"/>
        <w:ind w:left="355" w:right="62" w:hanging="10"/>
        <w:jc w:val="both"/>
      </w:pPr>
      <w:r>
        <w:rPr>
          <w:rFonts w:ascii="Arial" w:eastAsia="Arial" w:hAnsi="Arial" w:cs="Arial"/>
          <w:i/>
        </w:rPr>
        <w:t>además, la totalidad de su capital o patrimonio tendrá que ser de titularidad o aportación pública.</w:t>
      </w:r>
      <w:r>
        <w:rPr>
          <w:rFonts w:ascii="Times New Roman" w:eastAsia="Times New Roman" w:hAnsi="Times New Roman" w:cs="Times New Roman"/>
          <w:sz w:val="24"/>
        </w:rPr>
        <w:t xml:space="preserve"> </w:t>
      </w:r>
    </w:p>
    <w:p w:rsidR="00FA7413" w:rsidRDefault="00D712A8">
      <w:pPr>
        <w:numPr>
          <w:ilvl w:val="0"/>
          <w:numId w:val="30"/>
        </w:numPr>
        <w:spacing w:after="352" w:line="247" w:lineRule="auto"/>
        <w:ind w:right="61" w:firstLine="360"/>
        <w:jc w:val="both"/>
      </w:pPr>
      <w:r>
        <w:rPr>
          <w:rFonts w:ascii="Arial" w:eastAsia="Arial" w:hAnsi="Arial" w:cs="Arial"/>
          <w:i/>
        </w:rPr>
        <w:t>La condición de medio propio personificado de la entidad destinataria del encargo respecto del concreto poder ad</w:t>
      </w:r>
      <w:r>
        <w:rPr>
          <w:rFonts w:ascii="Arial" w:eastAsia="Arial" w:hAnsi="Arial" w:cs="Arial"/>
          <w:i/>
        </w:rPr>
        <w:t xml:space="preserve">judicador que hace el encargo deberá reconocerse expresamente en sus estatutos o actos de creación, previo cumplimiento de los siguientes requisitos: </w:t>
      </w:r>
    </w:p>
    <w:p w:rsidR="00FA7413" w:rsidRDefault="00D712A8">
      <w:pPr>
        <w:spacing w:after="171" w:line="247" w:lineRule="auto"/>
        <w:ind w:left="345" w:right="62" w:firstLine="360"/>
        <w:jc w:val="both"/>
      </w:pPr>
      <w:r>
        <w:rPr>
          <w:rFonts w:ascii="Arial" w:eastAsia="Arial" w:hAnsi="Arial" w:cs="Arial"/>
          <w:i/>
        </w:rPr>
        <w:t xml:space="preserve">1.º Conformidad o autorización expresa del poder adjudicador respecto del que vaya a ser medio propio. </w:t>
      </w:r>
    </w:p>
    <w:p w:rsidR="00FA7413" w:rsidRDefault="00D712A8">
      <w:pPr>
        <w:spacing w:after="358" w:line="241" w:lineRule="auto"/>
        <w:ind w:left="345" w:firstLine="360"/>
      </w:pPr>
      <w:r>
        <w:rPr>
          <w:rFonts w:ascii="Arial" w:eastAsia="Arial" w:hAnsi="Arial" w:cs="Arial"/>
          <w:i/>
        </w:rPr>
        <w:t xml:space="preserve">2.º Verificación por la entidad pública de que dependa el ente que vaya a ser medio propio, de que cuenta con medios personales y materiales apropiados para la realización de los encargos de conformidad con su objeto social. </w:t>
      </w:r>
    </w:p>
    <w:p w:rsidR="00FA7413" w:rsidRDefault="00D712A8">
      <w:pPr>
        <w:spacing w:after="112" w:line="247" w:lineRule="auto"/>
        <w:ind w:left="345" w:right="62" w:firstLine="360"/>
        <w:jc w:val="both"/>
      </w:pPr>
      <w:r>
        <w:rPr>
          <w:rFonts w:ascii="Arial" w:eastAsia="Arial" w:hAnsi="Arial" w:cs="Arial"/>
          <w:i/>
        </w:rPr>
        <w:t>Los estatutos o acto de creaci</w:t>
      </w:r>
      <w:r>
        <w:rPr>
          <w:rFonts w:ascii="Arial" w:eastAsia="Arial" w:hAnsi="Arial" w:cs="Arial"/>
          <w:i/>
        </w:rPr>
        <w:t>ón del ente destinatario del encargo deberá determinar: el poder adjudicador respecto del cual tiene esa condición; precisar el régimen jurídico y administrativo de los encargos que se les puedan conferir; y establecer la imposibilidad de que participen en</w:t>
      </w:r>
      <w:r>
        <w:rPr>
          <w:rFonts w:ascii="Arial" w:eastAsia="Arial" w:hAnsi="Arial" w:cs="Arial"/>
          <w:i/>
        </w:rPr>
        <w:t xml:space="preserve"> licitaciones públicas convocadas por el poder adjudicador del que sean medio propio personificado, sin perjuicio de que, cuando no concurra ningún licitador, pueda encargárseles la ejecución de la prestación objeto de las mismas. </w:t>
      </w:r>
    </w:p>
    <w:p w:rsidR="00FA7413" w:rsidRDefault="00D712A8">
      <w:pPr>
        <w:spacing w:after="154" w:line="247" w:lineRule="auto"/>
        <w:ind w:left="345" w:right="62" w:firstLine="360"/>
        <w:jc w:val="both"/>
      </w:pPr>
      <w:r>
        <w:rPr>
          <w:rFonts w:ascii="Arial" w:eastAsia="Arial" w:hAnsi="Arial" w:cs="Arial"/>
          <w:i/>
        </w:rPr>
        <w:t>En todo caso, se presumirá que cumple el requisito establecido en el número 2.º de la presente letra cuando haya obtenido la correspondiente clasificación respecto a los grupos, subgrupos y categorías que ostente.</w:t>
      </w:r>
      <w:r>
        <w:rPr>
          <w:rFonts w:ascii="Arial" w:eastAsia="Arial" w:hAnsi="Arial" w:cs="Arial"/>
        </w:rPr>
        <w:t>”</w:t>
      </w:r>
      <w:r>
        <w:rPr>
          <w:rFonts w:ascii="Times New Roman" w:eastAsia="Times New Roman" w:hAnsi="Times New Roman" w:cs="Times New Roman"/>
          <w:sz w:val="24"/>
        </w:rPr>
        <w:t xml:space="preserve"> </w:t>
      </w:r>
    </w:p>
    <w:p w:rsidR="00FA7413" w:rsidRDefault="00D712A8">
      <w:pPr>
        <w:spacing w:after="158"/>
        <w:ind w:left="720"/>
      </w:pPr>
      <w:r>
        <w:rPr>
          <w:rFonts w:ascii="Arial" w:eastAsia="Arial" w:hAnsi="Arial" w:cs="Arial"/>
        </w:rPr>
        <w:t xml:space="preserve"> </w:t>
      </w:r>
    </w:p>
    <w:p w:rsidR="00FA7413" w:rsidRDefault="00D712A8">
      <w:pPr>
        <w:pStyle w:val="Ttulo1"/>
        <w:spacing w:after="158"/>
        <w:ind w:left="1013" w:right="360"/>
      </w:pPr>
      <w:r>
        <w:t xml:space="preserve">TERCERO </w:t>
      </w:r>
    </w:p>
    <w:p w:rsidR="00FA7413" w:rsidRDefault="00D712A8">
      <w:pPr>
        <w:ind w:left="706"/>
        <w:jc w:val="center"/>
      </w:pPr>
      <w:r>
        <w:rPr>
          <w:rFonts w:ascii="Arial" w:eastAsia="Arial" w:hAnsi="Arial" w:cs="Arial"/>
          <w:b/>
        </w:rPr>
        <w:t xml:space="preserve"> </w:t>
      </w:r>
    </w:p>
    <w:p w:rsidR="00FA7413" w:rsidRDefault="00D712A8">
      <w:pPr>
        <w:pBdr>
          <w:bottom w:val="single" w:sz="6" w:space="0" w:color="CCCCCC"/>
        </w:pBdr>
        <w:shd w:val="clear" w:color="auto" w:fill="F9F9F9"/>
        <w:tabs>
          <w:tab w:val="center" w:pos="4755"/>
        </w:tabs>
        <w:spacing w:after="231" w:line="216" w:lineRule="auto"/>
        <w:ind w:left="345" w:right="56"/>
        <w:jc w:val="both"/>
      </w:pPr>
      <w:r>
        <w:rPr>
          <w:rFonts w:ascii="Arial" w:eastAsia="Arial" w:hAnsi="Arial" w:cs="Arial"/>
          <w:b/>
        </w:rPr>
        <w:t xml:space="preserve"> </w:t>
      </w:r>
      <w:r>
        <w:rPr>
          <w:rFonts w:ascii="Arial" w:eastAsia="Arial" w:hAnsi="Arial" w:cs="Arial"/>
          <w:b/>
        </w:rPr>
        <w:tab/>
        <w:t xml:space="preserve"> Ley 7/1985, de 2 de abri</w:t>
      </w:r>
      <w:r>
        <w:rPr>
          <w:rFonts w:ascii="Arial" w:eastAsia="Arial" w:hAnsi="Arial" w:cs="Arial"/>
          <w:b/>
        </w:rPr>
        <w:t xml:space="preserve">l, Reguladora de las Bases del Régimen Local. </w:t>
      </w:r>
      <w:r>
        <w:rPr>
          <w:sz w:val="26"/>
        </w:rPr>
        <w:t xml:space="preserve"> </w:t>
      </w:r>
    </w:p>
    <w:p w:rsidR="00FA7413" w:rsidRDefault="00D712A8">
      <w:pPr>
        <w:spacing w:after="0"/>
        <w:ind w:left="1068"/>
      </w:pPr>
      <w:r>
        <w:rPr>
          <w:rFonts w:ascii="Arial" w:eastAsia="Arial" w:hAnsi="Arial" w:cs="Arial"/>
        </w:rPr>
        <w:t xml:space="preserve"> </w:t>
      </w:r>
    </w:p>
    <w:p w:rsidR="00FA7413" w:rsidRDefault="00D712A8">
      <w:pPr>
        <w:spacing w:after="351" w:line="248" w:lineRule="auto"/>
        <w:ind w:left="345" w:right="64" w:firstLine="708"/>
        <w:jc w:val="both"/>
      </w:pPr>
      <w:r>
        <w:rPr>
          <w:rFonts w:ascii="Arial" w:eastAsia="Arial" w:hAnsi="Arial" w:cs="Arial"/>
        </w:rPr>
        <w:t xml:space="preserve">Son de aplicación los dos artículos siguientes en cuanto a la competencia del órgano municipal para la aprobación del presente expediente.     </w:t>
      </w:r>
    </w:p>
    <w:p w:rsidR="00FA7413" w:rsidRDefault="00D712A8">
      <w:pPr>
        <w:spacing w:after="171" w:line="248" w:lineRule="auto"/>
        <w:ind w:left="355" w:right="62" w:hanging="10"/>
        <w:jc w:val="both"/>
      </w:pPr>
      <w:r>
        <w:rPr>
          <w:rFonts w:ascii="Arial" w:eastAsia="Arial" w:hAnsi="Arial" w:cs="Arial"/>
          <w:b/>
        </w:rPr>
        <w:t xml:space="preserve">Artículo 47.2.H) </w:t>
      </w:r>
    </w:p>
    <w:p w:rsidR="00FA7413" w:rsidRDefault="00D712A8">
      <w:pPr>
        <w:spacing w:after="171" w:line="248" w:lineRule="auto"/>
        <w:ind w:left="345" w:right="64" w:firstLine="360"/>
        <w:jc w:val="both"/>
      </w:pPr>
      <w:r>
        <w:rPr>
          <w:rFonts w:ascii="Arial" w:eastAsia="Arial" w:hAnsi="Arial" w:cs="Arial"/>
        </w:rPr>
        <w:t xml:space="preserve">“ 2. Se requiere el voto favorable de la mayoría absoluta del número legal de miembros de las corporaciones para la adopción de acuerdos en las siguientes materias: </w:t>
      </w:r>
    </w:p>
    <w:p w:rsidR="00FA7413" w:rsidRDefault="00D712A8">
      <w:pPr>
        <w:spacing w:after="0"/>
        <w:ind w:left="10" w:right="60" w:hanging="10"/>
        <w:jc w:val="right"/>
      </w:pPr>
      <w:r>
        <w:rPr>
          <w:rFonts w:ascii="Arial" w:eastAsia="Arial" w:hAnsi="Arial" w:cs="Arial"/>
          <w:b/>
        </w:rPr>
        <w:t xml:space="preserve">h) Transferencia de funciones o actividades a otras Administraciones públicas, así como </w:t>
      </w:r>
    </w:p>
    <w:p w:rsidR="00FA7413" w:rsidRDefault="00D712A8">
      <w:pPr>
        <w:spacing w:after="353" w:line="248" w:lineRule="auto"/>
        <w:ind w:left="355" w:right="62" w:hanging="10"/>
        <w:jc w:val="both"/>
      </w:pPr>
      <w:r>
        <w:rPr>
          <w:noProof/>
        </w:rPr>
        <mc:AlternateContent>
          <mc:Choice Requires="wpg">
            <w:drawing>
              <wp:anchor distT="0" distB="0" distL="114300" distR="114300" simplePos="0" relativeHeight="251782144"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6198" name="Group 216198"/>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4098" name="Rectangle 14098"/>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4099" name="Rectangle 14099"/>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120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6198" style="width:12.7031pt;height:275.586pt;position:absolute;mso-position-horizontal-relative:page;mso-position-horizontal:absolute;margin-left:682.278pt;mso-position-vertical-relative:page;margin-top:536.334pt;" coordsize="1613,34999">
                <v:rect id="Rectangle 14098"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4099"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120 de 180 </w:t>
                        </w:r>
                      </w:p>
                    </w:txbxContent>
                  </v:textbox>
                </v:rect>
                <w10:wrap type="square"/>
              </v:group>
            </w:pict>
          </mc:Fallback>
        </mc:AlternateContent>
      </w:r>
      <w:r>
        <w:rPr>
          <w:rFonts w:ascii="Arial" w:eastAsia="Arial" w:hAnsi="Arial" w:cs="Arial"/>
          <w:b/>
        </w:rPr>
        <w:t xml:space="preserve">la aceptación de las delegaciones o encomiendas de gestión </w:t>
      </w:r>
      <w:r>
        <w:rPr>
          <w:rFonts w:ascii="Arial" w:eastAsia="Arial" w:hAnsi="Arial" w:cs="Arial"/>
          <w:b/>
        </w:rPr>
        <w:t xml:space="preserve">realizadas por otras administraciones, salvo que por ley se impongan obligatoriamente. </w:t>
      </w:r>
    </w:p>
    <w:p w:rsidR="00FA7413" w:rsidRDefault="00D712A8">
      <w:pPr>
        <w:spacing w:after="169" w:line="248" w:lineRule="auto"/>
        <w:ind w:left="355" w:right="64" w:hanging="10"/>
        <w:jc w:val="both"/>
      </w:pPr>
      <w:r>
        <w:rPr>
          <w:rFonts w:ascii="Arial" w:eastAsia="Arial" w:hAnsi="Arial" w:cs="Arial"/>
        </w:rPr>
        <w:t xml:space="preserve">Artículo 22.2.p) y 4. </w:t>
      </w:r>
    </w:p>
    <w:p w:rsidR="00FA7413" w:rsidRDefault="00D712A8">
      <w:pPr>
        <w:spacing w:after="155" w:line="247" w:lineRule="auto"/>
        <w:ind w:left="345" w:right="62" w:firstLine="360"/>
        <w:jc w:val="both"/>
      </w:pPr>
      <w:r>
        <w:rPr>
          <w:rFonts w:ascii="Arial" w:eastAsia="Arial" w:hAnsi="Arial" w:cs="Arial"/>
        </w:rPr>
        <w:t>“</w:t>
      </w:r>
      <w:r>
        <w:rPr>
          <w:rFonts w:ascii="Arial" w:eastAsia="Arial" w:hAnsi="Arial" w:cs="Arial"/>
          <w:i/>
        </w:rPr>
        <w:t xml:space="preserve"> 2. Corresponden, en todo caso, al Pleno municipal en los Ayuntamientos, y a la Asamblea vecinal en el régimen de Concejo Abierto, las siguiente</w:t>
      </w:r>
      <w:r>
        <w:rPr>
          <w:rFonts w:ascii="Arial" w:eastAsia="Arial" w:hAnsi="Arial" w:cs="Arial"/>
          <w:i/>
        </w:rPr>
        <w:t>s atribuciones:</w:t>
      </w:r>
      <w:r>
        <w:rPr>
          <w:rFonts w:ascii="Times New Roman" w:eastAsia="Times New Roman" w:hAnsi="Times New Roman" w:cs="Times New Roman"/>
          <w:sz w:val="24"/>
        </w:rPr>
        <w:t xml:space="preserve"> </w:t>
      </w:r>
    </w:p>
    <w:p w:rsidR="00FA7413" w:rsidRDefault="00D712A8">
      <w:pPr>
        <w:spacing w:after="0"/>
        <w:ind w:left="10" w:right="59" w:hanging="10"/>
        <w:jc w:val="right"/>
      </w:pPr>
      <w:r>
        <w:rPr>
          <w:rFonts w:ascii="Arial" w:eastAsia="Arial" w:hAnsi="Arial" w:cs="Arial"/>
          <w:b/>
          <w:i/>
        </w:rPr>
        <w:t xml:space="preserve">p) Aquellas otras que deban corresponder al Pleno por exigir su aprobación una mayoría </w:t>
      </w:r>
    </w:p>
    <w:p w:rsidR="00FA7413" w:rsidRDefault="00D712A8">
      <w:pPr>
        <w:spacing w:after="168" w:line="249" w:lineRule="auto"/>
        <w:ind w:left="355" w:right="62" w:hanging="10"/>
        <w:jc w:val="both"/>
      </w:pPr>
      <w:r>
        <w:rPr>
          <w:rFonts w:ascii="Arial" w:eastAsia="Arial" w:hAnsi="Arial" w:cs="Arial"/>
          <w:b/>
          <w:i/>
        </w:rPr>
        <w:t xml:space="preserve">especial. </w:t>
      </w:r>
    </w:p>
    <w:p w:rsidR="00FA7413" w:rsidRDefault="00D712A8">
      <w:pPr>
        <w:spacing w:after="152" w:line="247" w:lineRule="auto"/>
        <w:ind w:left="345" w:right="62" w:firstLine="360"/>
        <w:jc w:val="both"/>
      </w:pPr>
      <w:r>
        <w:rPr>
          <w:rFonts w:ascii="Arial" w:eastAsia="Arial" w:hAnsi="Arial" w:cs="Arial"/>
          <w:i/>
        </w:rPr>
        <w:t>4. El Pleno puede delegar el ejercicio de sus atribuciones en el Alcalde y en la Junta de Gobierno Local, salvo las enunciadas en el apartado 2, párrafos a), b), c), d), e), f), g), h), i), l) y p), y en el apartado 3 de este artículo.</w:t>
      </w:r>
      <w:r>
        <w:rPr>
          <w:rFonts w:ascii="Arial" w:eastAsia="Arial" w:hAnsi="Arial" w:cs="Arial"/>
        </w:rPr>
        <w:t>”</w:t>
      </w:r>
      <w:r>
        <w:rPr>
          <w:rFonts w:ascii="Times New Roman" w:eastAsia="Times New Roman" w:hAnsi="Times New Roman" w:cs="Times New Roman"/>
          <w:sz w:val="24"/>
        </w:rPr>
        <w:t xml:space="preserve"> </w:t>
      </w:r>
    </w:p>
    <w:p w:rsidR="00FA7413" w:rsidRDefault="00D712A8">
      <w:pPr>
        <w:spacing w:after="103"/>
        <w:ind w:left="360"/>
      </w:pPr>
      <w:r>
        <w:rPr>
          <w:rFonts w:ascii="Arial" w:eastAsia="Arial" w:hAnsi="Arial" w:cs="Arial"/>
          <w:b/>
        </w:rPr>
        <w:t xml:space="preserve"> </w:t>
      </w:r>
    </w:p>
    <w:p w:rsidR="00FA7413" w:rsidRDefault="00D712A8">
      <w:pPr>
        <w:spacing w:after="98"/>
        <w:ind w:left="1426"/>
      </w:pPr>
      <w:r>
        <w:rPr>
          <w:rFonts w:ascii="Arial" w:eastAsia="Arial" w:hAnsi="Arial" w:cs="Arial"/>
        </w:rPr>
        <w:t xml:space="preserve">   </w:t>
      </w:r>
    </w:p>
    <w:p w:rsidR="00FA7413" w:rsidRDefault="00D712A8">
      <w:pPr>
        <w:spacing w:after="109" w:line="248" w:lineRule="auto"/>
        <w:ind w:left="345" w:right="64" w:firstLine="708"/>
        <w:jc w:val="both"/>
      </w:pPr>
      <w:r>
        <w:rPr>
          <w:rFonts w:ascii="Arial" w:eastAsia="Arial" w:hAnsi="Arial" w:cs="Arial"/>
        </w:rPr>
        <w:t>En base a lo</w:t>
      </w:r>
      <w:r>
        <w:rPr>
          <w:rFonts w:ascii="Arial" w:eastAsia="Arial" w:hAnsi="Arial" w:cs="Arial"/>
        </w:rPr>
        <w:t xml:space="preserve">s antecedentes de hecho y fundamentos de Derecho expuestos, se emite la siguiente, </w:t>
      </w:r>
    </w:p>
    <w:p w:rsidR="00FA7413" w:rsidRDefault="00D712A8">
      <w:pPr>
        <w:spacing w:after="95"/>
        <w:ind w:left="1068"/>
      </w:pPr>
      <w:r>
        <w:rPr>
          <w:rFonts w:ascii="Arial" w:eastAsia="Arial" w:hAnsi="Arial" w:cs="Arial"/>
        </w:rPr>
        <w:t xml:space="preserve"> </w:t>
      </w:r>
    </w:p>
    <w:p w:rsidR="00FA7413" w:rsidRDefault="00D712A8">
      <w:pPr>
        <w:spacing w:after="100"/>
        <w:ind w:left="1056"/>
        <w:jc w:val="center"/>
      </w:pPr>
      <w:r>
        <w:rPr>
          <w:rFonts w:ascii="Arial" w:eastAsia="Arial" w:hAnsi="Arial" w:cs="Arial"/>
          <w:b/>
        </w:rPr>
        <w:t xml:space="preserve"> </w:t>
      </w:r>
    </w:p>
    <w:p w:rsidR="00FA7413" w:rsidRDefault="00D712A8">
      <w:pPr>
        <w:spacing w:after="101"/>
        <w:ind w:left="1013" w:right="8" w:hanging="10"/>
        <w:jc w:val="center"/>
      </w:pPr>
      <w:r>
        <w:rPr>
          <w:rFonts w:ascii="Arial" w:eastAsia="Arial" w:hAnsi="Arial" w:cs="Arial"/>
          <w:b/>
        </w:rPr>
        <w:t xml:space="preserve">PROPUESTA DE RESOLUCIÓN: </w:t>
      </w:r>
    </w:p>
    <w:p w:rsidR="00FA7413" w:rsidRDefault="00D712A8">
      <w:pPr>
        <w:spacing w:after="0"/>
        <w:ind w:left="1056"/>
        <w:jc w:val="center"/>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 xml:space="preserve">  </w:t>
      </w:r>
      <w:r>
        <w:rPr>
          <w:rFonts w:ascii="Arial" w:eastAsia="Arial" w:hAnsi="Arial" w:cs="Arial"/>
          <w:b/>
        </w:rPr>
        <w:t>1º</w:t>
      </w:r>
      <w:r>
        <w:rPr>
          <w:rFonts w:ascii="Arial" w:eastAsia="Arial" w:hAnsi="Arial" w:cs="Arial"/>
        </w:rPr>
        <w:t xml:space="preserve">.- </w:t>
      </w:r>
      <w:r>
        <w:rPr>
          <w:rFonts w:ascii="Arial" w:eastAsia="Arial" w:hAnsi="Arial" w:cs="Arial"/>
        </w:rPr>
        <w:t>Otorgar la conformidad expresa de esta Corporación a la declaración de la entidad “GESTUR CANARIAS, SA”, adscrita a la Consejería de Transición Ecológica, Lucha contra el Cambio Climático y Planificación Territorial del Gobierno de Canarias, como medio per</w:t>
      </w:r>
      <w:r>
        <w:rPr>
          <w:rFonts w:ascii="Arial" w:eastAsia="Arial" w:hAnsi="Arial" w:cs="Arial"/>
        </w:rPr>
        <w:t xml:space="preserve">sonificado del mismo, a los efectos dispuestos en el artículo 32.2 de la Ley 4/2012, de 25 de junio, de medidas administrativas y fiscales, en relación con el art. 32.4 de la LCSP.      </w:t>
      </w:r>
      <w:r>
        <w:rPr>
          <w:rFonts w:ascii="Times New Roman" w:eastAsia="Times New Roman" w:hAnsi="Times New Roman" w:cs="Times New Roman"/>
          <w:sz w:val="24"/>
        </w:rPr>
        <w:t xml:space="preserve"> </w: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spacing w:after="0" w:line="248" w:lineRule="auto"/>
        <w:ind w:left="345" w:right="64" w:firstLine="708"/>
        <w:jc w:val="both"/>
      </w:pPr>
      <w:r>
        <w:rPr>
          <w:rFonts w:ascii="Arial" w:eastAsia="Arial" w:hAnsi="Arial" w:cs="Arial"/>
          <w:b/>
        </w:rPr>
        <w:t xml:space="preserve">2º.- </w:t>
      </w:r>
      <w:r>
        <w:rPr>
          <w:rFonts w:ascii="Arial" w:eastAsia="Arial" w:hAnsi="Arial" w:cs="Arial"/>
        </w:rPr>
        <w:t>Solicitar formalmente de la  Consejería de Transición Ecológi</w:t>
      </w:r>
      <w:r>
        <w:rPr>
          <w:rFonts w:ascii="Arial" w:eastAsia="Arial" w:hAnsi="Arial" w:cs="Arial"/>
        </w:rPr>
        <w:t>ca, Lucha contra el Cambio Climático y Planificación Territorial  del Gobierno de Canarias, a la que se encuentra adscrita la entidad “GESTUR CANARIAS,SA ”, que inicie el procedimiento de modificación estatutaria para que la segunda pueda ser declarada med</w:t>
      </w:r>
      <w:r>
        <w:rPr>
          <w:rFonts w:ascii="Arial" w:eastAsia="Arial" w:hAnsi="Arial" w:cs="Arial"/>
        </w:rPr>
        <w:t>io propio personificado y destinataria, por tanto de los encargos que este Ayuntamiento le pueda conferir, en los estrictos términos regulados en el acuerdo adoptado por el Gobierno de Canarias, en sesión de fecha 26 de marzo de 2018, y en coherencia con l</w:t>
      </w:r>
      <w:r>
        <w:rPr>
          <w:rFonts w:ascii="Arial" w:eastAsia="Arial" w:hAnsi="Arial" w:cs="Arial"/>
        </w:rPr>
        <w:t>a regulación establecida en el art. 32.4 de la LCSP.</w:t>
      </w:r>
      <w:r>
        <w:rPr>
          <w:rFonts w:ascii="Times New Roman" w:eastAsia="Times New Roman" w:hAnsi="Times New Roman" w:cs="Times New Roman"/>
          <w:sz w:val="24"/>
        </w:rPr>
        <w:t xml:space="preserve"> </w:t>
      </w:r>
    </w:p>
    <w:p w:rsidR="00FA7413" w:rsidRDefault="00D712A8">
      <w:pPr>
        <w:spacing w:after="16"/>
        <w:ind w:left="1068"/>
      </w:pPr>
      <w:r>
        <w:rPr>
          <w:rFonts w:ascii="Arial" w:eastAsia="Arial" w:hAnsi="Arial" w:cs="Arial"/>
        </w:rPr>
        <w:t xml:space="preserve"> </w:t>
      </w:r>
    </w:p>
    <w:p w:rsidR="00FA7413" w:rsidRDefault="00D712A8">
      <w:pPr>
        <w:spacing w:after="31" w:line="248" w:lineRule="auto"/>
        <w:ind w:left="345" w:right="64" w:firstLine="708"/>
        <w:jc w:val="both"/>
      </w:pPr>
      <w:r>
        <w:rPr>
          <w:rFonts w:ascii="Arial" w:eastAsia="Arial" w:hAnsi="Arial" w:cs="Arial"/>
          <w:b/>
        </w:rPr>
        <w:t xml:space="preserve">3º.- </w:t>
      </w:r>
      <w:r>
        <w:rPr>
          <w:rFonts w:ascii="Arial" w:eastAsia="Arial" w:hAnsi="Arial" w:cs="Arial"/>
        </w:rPr>
        <w:t>Solicitar formalmente de la Consejería de Transición Ecológica, Lucha contra el Cambio Climático y Planificación Territorial  del Gobierno de Canarias, a la que se encuentra adscrita la entidad “</w:t>
      </w:r>
      <w:r>
        <w:rPr>
          <w:rFonts w:ascii="Arial" w:eastAsia="Arial" w:hAnsi="Arial" w:cs="Arial"/>
        </w:rPr>
        <w:t xml:space="preserve">GESTUR CANARIAS,SA”, que se tenga por designada como vocal único en el Consejo de Administración de la misma, como representante de la totalidad de los municipios, a la representante designada por la Federación Canaria de Municipios, Don Ignacio Rodríguez </w:t>
      </w:r>
      <w:r>
        <w:rPr>
          <w:rFonts w:ascii="Arial" w:eastAsia="Arial" w:hAnsi="Arial" w:cs="Arial"/>
        </w:rPr>
        <w:t>Jorge, Alcalde-Presidente del Ayuntamiento de La Matanza, o en su caso, a la persona que lo sustituya, según acuerdo adoptado por la FECAM.</w:t>
      </w:r>
      <w:r>
        <w:rPr>
          <w:rFonts w:ascii="Times New Roman" w:eastAsia="Times New Roman" w:hAnsi="Times New Roman" w:cs="Times New Roman"/>
          <w:sz w:val="24"/>
        </w:rPr>
        <w:t xml:space="preserve"> </w:t>
      </w:r>
    </w:p>
    <w:p w:rsidR="00FA7413" w:rsidRDefault="00D712A8">
      <w:pPr>
        <w:spacing w:after="11" w:line="248" w:lineRule="auto"/>
        <w:ind w:left="1078" w:right="64" w:hanging="10"/>
        <w:jc w:val="both"/>
      </w:pPr>
      <w:r>
        <w:rPr>
          <w:rFonts w:ascii="Arial" w:eastAsia="Arial" w:hAnsi="Arial" w:cs="Arial"/>
        </w:rPr>
        <w:t xml:space="preserve">. </w:t>
      </w:r>
    </w:p>
    <w:p w:rsidR="00FA7413" w:rsidRDefault="00D712A8">
      <w:pPr>
        <w:spacing w:after="0"/>
        <w:ind w:left="1068"/>
      </w:pPr>
      <w:r>
        <w:rPr>
          <w:noProof/>
        </w:rPr>
        <mc:AlternateContent>
          <mc:Choice Requires="wpg">
            <w:drawing>
              <wp:anchor distT="0" distB="0" distL="114300" distR="114300" simplePos="0" relativeHeight="251783168"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6480" name="Group 216480"/>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4227" name="Rectangle 14227"/>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4228" name="Rectangle 14228"/>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Documento</w:t>
                              </w:r>
                              <w:r>
                                <w:rPr>
                                  <w:rFonts w:ascii="Arial" w:eastAsia="Arial" w:hAnsi="Arial" w:cs="Arial"/>
                                  <w:sz w:val="12"/>
                                </w:rPr>
                                <w:t xml:space="preserve"> firmado electrónicamente desde la plataforma esPublico Gestiona | Página 121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6480" style="width:12.7031pt;height:275.586pt;position:absolute;mso-position-horizontal-relative:page;mso-position-horizontal:absolute;margin-left:682.278pt;mso-position-vertical-relative:page;margin-top:536.334pt;" coordsize="1613,34999">
                <v:rect id="Rectangle 14227"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4228"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121 de 180 </w:t>
                        </w:r>
                      </w:p>
                    </w:txbxContent>
                  </v:textbox>
                </v:rect>
                <w10:wrap type="square"/>
              </v:group>
            </w:pict>
          </mc:Fallback>
        </mc:AlternateContent>
      </w:r>
      <w:r>
        <w:rPr>
          <w:rFonts w:ascii="Arial" w:eastAsia="Arial" w:hAnsi="Arial" w:cs="Arial"/>
        </w:rPr>
        <w:t xml:space="preserve"> </w:t>
      </w:r>
    </w:p>
    <w:p w:rsidR="00FA7413" w:rsidRDefault="00D712A8">
      <w:pPr>
        <w:spacing w:after="0" w:line="248" w:lineRule="auto"/>
        <w:ind w:left="345" w:right="64" w:firstLine="708"/>
        <w:jc w:val="both"/>
      </w:pPr>
      <w:r>
        <w:rPr>
          <w:rFonts w:ascii="Arial" w:eastAsia="Arial" w:hAnsi="Arial" w:cs="Arial"/>
          <w:b/>
        </w:rPr>
        <w:t xml:space="preserve">4º.- </w:t>
      </w:r>
      <w:r>
        <w:rPr>
          <w:rFonts w:ascii="Arial" w:eastAsia="Arial" w:hAnsi="Arial" w:cs="Arial"/>
        </w:rPr>
        <w:t xml:space="preserve"> Facultar a la Alcaldesa para la firma de los documentos necesarios de declaración de la entidad “GESTUR CANARIAS, SA”, adscrita a la Consejería de Transición Ecol</w:t>
      </w:r>
      <w:r>
        <w:rPr>
          <w:rFonts w:ascii="Arial" w:eastAsia="Arial" w:hAnsi="Arial" w:cs="Arial"/>
        </w:rPr>
        <w:t>ógica, Lucha contra el Cambio Climático y Planificación Territorial del Gobierno de Canarias, como medio propio personificado del mismo.</w:t>
      </w:r>
      <w:r>
        <w:rPr>
          <w:rFonts w:ascii="Times New Roman" w:eastAsia="Times New Roman" w:hAnsi="Times New Roman" w:cs="Times New Roman"/>
          <w:sz w:val="24"/>
        </w:rPr>
        <w:t xml:space="preserve"> </w:t>
      </w:r>
    </w:p>
    <w:p w:rsidR="00FA7413" w:rsidRDefault="00D712A8">
      <w:pPr>
        <w:spacing w:after="0"/>
        <w:ind w:left="1068"/>
      </w:pPr>
      <w:r>
        <w:rPr>
          <w:rFonts w:ascii="Arial" w:eastAsia="Arial" w:hAnsi="Arial" w:cs="Arial"/>
        </w:rPr>
        <w:t xml:space="preserve"> </w:t>
      </w:r>
    </w:p>
    <w:p w:rsidR="00FA7413" w:rsidRDefault="00D712A8">
      <w:pPr>
        <w:spacing w:after="4" w:line="248" w:lineRule="auto"/>
        <w:ind w:left="345" w:right="64" w:firstLine="708"/>
        <w:jc w:val="both"/>
      </w:pPr>
      <w:r>
        <w:rPr>
          <w:rFonts w:ascii="Arial" w:eastAsia="Arial" w:hAnsi="Arial" w:cs="Arial"/>
          <w:b/>
        </w:rPr>
        <w:t xml:space="preserve">5º.- </w:t>
      </w:r>
      <w:r>
        <w:rPr>
          <w:rFonts w:ascii="Arial" w:eastAsia="Arial" w:hAnsi="Arial" w:cs="Arial"/>
        </w:rPr>
        <w:t>Dar traslado del presente acuerdo a la Consejería de Transición Ecológica, Lucha contra el Cambio Climático y Planificación Territorial del Gobierno de Canarias, a la FECAM y a la entidad GESTUR CANARIAS, SA, a los efectos oportunos.”</w:t>
      </w:r>
      <w:r>
        <w:rPr>
          <w:rFonts w:ascii="Arial" w:eastAsia="Arial" w:hAnsi="Arial" w:cs="Arial"/>
          <w:b/>
        </w:rPr>
        <w:t xml:space="preserve"> </w:t>
      </w:r>
      <w:r>
        <w:rPr>
          <w:rFonts w:ascii="Arial" w:eastAsia="Arial" w:hAnsi="Arial" w:cs="Arial"/>
        </w:rPr>
        <w:t xml:space="preserve">   </w:t>
      </w:r>
      <w:r>
        <w:rPr>
          <w:rFonts w:ascii="Times New Roman" w:eastAsia="Times New Roman" w:hAnsi="Times New Roman" w:cs="Times New Roman"/>
          <w:sz w:val="24"/>
        </w:rPr>
        <w:t xml:space="preserve"> </w:t>
      </w:r>
    </w:p>
    <w:p w:rsidR="00FA7413" w:rsidRDefault="00D712A8">
      <w:pPr>
        <w:spacing w:after="0"/>
        <w:ind w:left="360"/>
      </w:pPr>
      <w:r>
        <w:rPr>
          <w:rFonts w:ascii="Arial" w:eastAsia="Arial" w:hAnsi="Arial" w:cs="Arial"/>
        </w:rPr>
        <w:t xml:space="preserve">        </w:t>
      </w:r>
      <w:r>
        <w:rPr>
          <w:rFonts w:ascii="Times New Roman" w:eastAsia="Times New Roman" w:hAnsi="Times New Roman" w:cs="Times New Roman"/>
          <w:sz w:val="24"/>
        </w:rPr>
        <w:t xml:space="preserve"> </w:t>
      </w:r>
    </w:p>
    <w:p w:rsidR="00FA7413" w:rsidRDefault="00D712A8">
      <w:pPr>
        <w:spacing w:after="95"/>
        <w:ind w:left="360"/>
      </w:pPr>
      <w:r>
        <w:rPr>
          <w:rFonts w:ascii="Arial" w:eastAsia="Arial" w:hAnsi="Arial" w:cs="Arial"/>
        </w:rPr>
        <w:t xml:space="preserve">  </w:t>
      </w:r>
    </w:p>
    <w:p w:rsidR="00FA7413" w:rsidRDefault="00D712A8">
      <w:pPr>
        <w:spacing w:after="0" w:line="248" w:lineRule="auto"/>
        <w:ind w:left="355" w:right="62" w:hanging="10"/>
        <w:jc w:val="both"/>
      </w:pPr>
      <w:r>
        <w:rPr>
          <w:rFonts w:ascii="Arial" w:eastAsia="Arial" w:hAnsi="Arial" w:cs="Arial"/>
          <w:b/>
        </w:rPr>
        <w:t>Con</w:t>
      </w:r>
      <w:r>
        <w:rPr>
          <w:rFonts w:ascii="Arial" w:eastAsia="Arial" w:hAnsi="Arial" w:cs="Arial"/>
          <w:b/>
        </w:rPr>
        <w:t xml:space="preserve">sta en el expediente propuesta de la Alcaldesa-Presidenta, de fecha 14 de junio de 2021, cuyo tenor literal es el siguiente: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101"/>
        <w:ind w:left="360"/>
      </w:pPr>
      <w:r>
        <w:rPr>
          <w:rFonts w:ascii="Arial" w:eastAsia="Arial" w:hAnsi="Arial" w:cs="Arial"/>
        </w:rPr>
        <w:t xml:space="preserve"> </w:t>
      </w:r>
    </w:p>
    <w:p w:rsidR="00FA7413" w:rsidRDefault="00D712A8">
      <w:pPr>
        <w:spacing w:after="109" w:line="248" w:lineRule="auto"/>
        <w:ind w:left="355" w:right="64" w:hanging="10"/>
        <w:jc w:val="both"/>
      </w:pPr>
      <w:r>
        <w:rPr>
          <w:rFonts w:ascii="Arial" w:eastAsia="Arial" w:hAnsi="Arial" w:cs="Arial"/>
        </w:rPr>
        <w:t xml:space="preserve">    “La que suscribe, Alcaldesa-Presidenta del Ayuntamiento de la Villa de Candelaria, al amparo de lo dispuesto en el Regla</w:t>
      </w:r>
      <w:r>
        <w:rPr>
          <w:rFonts w:ascii="Arial" w:eastAsia="Arial" w:hAnsi="Arial" w:cs="Arial"/>
        </w:rPr>
        <w:t>mento de Organización, Funcionamiento y Régimen Jurídico de las Entidades Locales, así como en la Ley 7/1985, de 2 de abril, Reguladora de las Bases de Régimen Local, tienen el honor de someter a la consideración del Ayuntamiento Pleno la siguiente propues</w:t>
      </w:r>
      <w:r>
        <w:rPr>
          <w:rFonts w:ascii="Arial" w:eastAsia="Arial" w:hAnsi="Arial" w:cs="Arial"/>
        </w:rPr>
        <w:t xml:space="preserve">ta: </w:t>
      </w:r>
    </w:p>
    <w:p w:rsidR="00FA7413" w:rsidRDefault="00D712A8">
      <w:pPr>
        <w:spacing w:after="9" w:line="249" w:lineRule="auto"/>
        <w:ind w:left="10" w:right="63" w:hanging="10"/>
        <w:jc w:val="right"/>
      </w:pPr>
      <w:r>
        <w:rPr>
          <w:rFonts w:ascii="Arial" w:eastAsia="Arial" w:hAnsi="Arial" w:cs="Arial"/>
        </w:rPr>
        <w:t xml:space="preserve">Visto el informe jurídico de la Técnico de la Administración General que transcrito </w:t>
      </w:r>
    </w:p>
    <w:p w:rsidR="00FA7413" w:rsidRDefault="00D712A8">
      <w:pPr>
        <w:spacing w:after="109" w:line="248" w:lineRule="auto"/>
        <w:ind w:left="355" w:right="64" w:hanging="10"/>
        <w:jc w:val="both"/>
      </w:pPr>
      <w:r>
        <w:rPr>
          <w:rFonts w:ascii="Arial" w:eastAsia="Arial" w:hAnsi="Arial" w:cs="Arial"/>
        </w:rPr>
        <w:t xml:space="preserve">literalmente dice: </w:t>
      </w:r>
    </w:p>
    <w:p w:rsidR="00FA7413" w:rsidRDefault="00D712A8">
      <w:pPr>
        <w:spacing w:after="12" w:line="249" w:lineRule="auto"/>
        <w:ind w:left="10" w:right="61" w:hanging="10"/>
        <w:jc w:val="right"/>
      </w:pPr>
      <w:r>
        <w:rPr>
          <w:rFonts w:ascii="Arial" w:eastAsia="Arial" w:hAnsi="Arial" w:cs="Arial"/>
          <w:i/>
        </w:rPr>
        <w:t xml:space="preserve">“Visto el expediente antedicho, la funcionaria Mª del Pilar Chico Delgado, que ocupa el </w:t>
      </w:r>
    </w:p>
    <w:p w:rsidR="00FA7413" w:rsidRDefault="00D712A8">
      <w:pPr>
        <w:spacing w:after="59" w:line="296" w:lineRule="auto"/>
        <w:ind w:left="355" w:right="62" w:hanging="10"/>
        <w:jc w:val="both"/>
      </w:pPr>
      <w:r>
        <w:rPr>
          <w:rFonts w:ascii="Arial" w:eastAsia="Arial" w:hAnsi="Arial" w:cs="Arial"/>
          <w:i/>
        </w:rPr>
        <w:t xml:space="preserve">puesto de trabajo de técnico de adm.gral., conformado por el Secretario General, debidamente fiscalizado favorablemente por el Interventor Municipal, emite el siguiente informe:  Antecedentes de hecho  </w:t>
      </w:r>
    </w:p>
    <w:p w:rsidR="00FA7413" w:rsidRDefault="00D712A8">
      <w:pPr>
        <w:spacing w:after="112" w:line="247" w:lineRule="auto"/>
        <w:ind w:left="345" w:right="62" w:firstLine="708"/>
        <w:jc w:val="both"/>
      </w:pPr>
      <w:r>
        <w:rPr>
          <w:rFonts w:ascii="Arial" w:eastAsia="Arial" w:hAnsi="Arial" w:cs="Arial"/>
          <w:i/>
        </w:rPr>
        <w:t>Visto el escrito recibido con justificante de present</w:t>
      </w:r>
      <w:r>
        <w:rPr>
          <w:rFonts w:ascii="Arial" w:eastAsia="Arial" w:hAnsi="Arial" w:cs="Arial"/>
          <w:i/>
        </w:rPr>
        <w:t>ación electrónica  de fecha 14 de octubre de 2020, presentado por la entidad “GESTUR CANARIAS,SA”, en el que “solicitan del órgano competente de este Ayuntamiento que formule solicitud a la Consejería de Transición Ecológica, Lucha contra el Cambio Climáti</w:t>
      </w:r>
      <w:r>
        <w:rPr>
          <w:rFonts w:ascii="Arial" w:eastAsia="Arial" w:hAnsi="Arial" w:cs="Arial"/>
          <w:i/>
        </w:rPr>
        <w:t xml:space="preserve">co y Planificación Territorial del inicio del procedimiento  de modificación estatutaria para que pueda ser considerada medio propio personificado y destinaria de encargos, con posterior comunicación de dicha solicitud a la referida Consejería”.   </w:t>
      </w:r>
    </w:p>
    <w:p w:rsidR="00FA7413" w:rsidRDefault="00D712A8">
      <w:pPr>
        <w:spacing w:after="112" w:line="247" w:lineRule="auto"/>
        <w:ind w:left="345" w:right="62" w:firstLine="708"/>
        <w:jc w:val="both"/>
      </w:pPr>
      <w:r>
        <w:rPr>
          <w:rFonts w:ascii="Arial" w:eastAsia="Arial" w:hAnsi="Arial" w:cs="Arial"/>
          <w:i/>
        </w:rPr>
        <w:t>Visto e</w:t>
      </w:r>
      <w:r>
        <w:rPr>
          <w:rFonts w:ascii="Arial" w:eastAsia="Arial" w:hAnsi="Arial" w:cs="Arial"/>
          <w:i/>
        </w:rPr>
        <w:t>l Acuerdo del Gobierno de Canarias de 26 de marzo de 2018, por el que se fijan las condiciones que deberán cumplir las entidades del sector público autonómico con presupuesto estimativo para ser consideradas medio propio personificado y destinatarias de en</w:t>
      </w:r>
      <w:r>
        <w:rPr>
          <w:rFonts w:ascii="Arial" w:eastAsia="Arial" w:hAnsi="Arial" w:cs="Arial"/>
          <w:i/>
        </w:rPr>
        <w:t xml:space="preserve">cargos en virtud de lo previsto en el art. 32.2 de la Ley 4/2012, de 25 de junio, de medidas administrativas y fiscales (Consejería de Hacienda).     </w:t>
      </w:r>
    </w:p>
    <w:p w:rsidR="00FA7413" w:rsidRDefault="00D712A8">
      <w:pPr>
        <w:tabs>
          <w:tab w:val="center" w:pos="360"/>
          <w:tab w:val="center" w:pos="2892"/>
        </w:tabs>
        <w:spacing w:after="112" w:line="247" w:lineRule="auto"/>
      </w:pPr>
      <w:r>
        <w:tab/>
      </w:r>
      <w:r>
        <w:rPr>
          <w:rFonts w:ascii="Arial" w:eastAsia="Arial" w:hAnsi="Arial" w:cs="Arial"/>
          <w:i/>
        </w:rPr>
        <w:t xml:space="preserve"> </w:t>
      </w:r>
      <w:r>
        <w:rPr>
          <w:rFonts w:ascii="Arial" w:eastAsia="Arial" w:hAnsi="Arial" w:cs="Arial"/>
          <w:i/>
        </w:rPr>
        <w:tab/>
        <w:t xml:space="preserve">Estas condiciones son las siguientes: </w:t>
      </w:r>
    </w:p>
    <w:p w:rsidR="00FA7413" w:rsidRDefault="00D712A8">
      <w:pPr>
        <w:numPr>
          <w:ilvl w:val="0"/>
          <w:numId w:val="31"/>
        </w:numPr>
        <w:spacing w:after="167" w:line="247" w:lineRule="auto"/>
        <w:ind w:right="62" w:hanging="360"/>
        <w:jc w:val="both"/>
      </w:pPr>
      <w:r>
        <w:rPr>
          <w:rFonts w:ascii="Arial" w:eastAsia="Arial" w:hAnsi="Arial" w:cs="Arial"/>
          <w:i/>
        </w:rPr>
        <w:t>La totalidad del capital social o patrimonio de los entes con p</w:t>
      </w:r>
      <w:r>
        <w:rPr>
          <w:rFonts w:ascii="Arial" w:eastAsia="Arial" w:hAnsi="Arial" w:cs="Arial"/>
          <w:i/>
        </w:rPr>
        <w:t xml:space="preserve">ersonalidad jurídica privada con la cualificación de medio propio de la Administración Pública de la Comunidad Autónoma de Canarias ha ser de titularidad o aportación pública. </w:t>
      </w:r>
    </w:p>
    <w:p w:rsidR="00FA7413" w:rsidRDefault="00D712A8">
      <w:pPr>
        <w:spacing w:after="0"/>
        <w:ind w:left="360"/>
      </w:pPr>
      <w:r>
        <w:rPr>
          <w:rFonts w:ascii="Arial" w:eastAsia="Arial" w:hAnsi="Arial" w:cs="Arial"/>
          <w:i/>
        </w:rPr>
        <w:t xml:space="preserve"> </w:t>
      </w:r>
    </w:p>
    <w:p w:rsidR="00FA7413" w:rsidRDefault="00D712A8">
      <w:pPr>
        <w:numPr>
          <w:ilvl w:val="0"/>
          <w:numId w:val="31"/>
        </w:numPr>
        <w:spacing w:after="167" w:line="247" w:lineRule="auto"/>
        <w:ind w:right="62" w:hanging="360"/>
        <w:jc w:val="both"/>
      </w:pPr>
      <w:r>
        <w:rPr>
          <w:noProof/>
        </w:rPr>
        <mc:AlternateContent>
          <mc:Choice Requires="wpg">
            <w:drawing>
              <wp:anchor distT="0" distB="0" distL="114300" distR="114300" simplePos="0" relativeHeight="251784192"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2079" name="Group 212079"/>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4343" name="Rectangle 14343"/>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4344" name="Rectangle 14344"/>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122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2079" style="width:12.7031pt;height:275.586pt;position:absolute;mso-position-horizontal-relative:page;mso-position-horizontal:absolute;margin-left:682.278pt;mso-position-vertical-relative:page;margin-top:536.334pt;" coordsize="1613,34999">
                <v:rect id="Rectangle 14343"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4344"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122 de 180 </w:t>
                        </w:r>
                      </w:p>
                    </w:txbxContent>
                  </v:textbox>
                </v:rect>
                <w10:wrap type="square"/>
              </v:group>
            </w:pict>
          </mc:Fallback>
        </mc:AlternateContent>
      </w:r>
      <w:r>
        <w:rPr>
          <w:rFonts w:ascii="Arial" w:eastAsia="Arial" w:hAnsi="Arial" w:cs="Arial"/>
          <w:i/>
        </w:rPr>
        <w:t>Se deberá tramitar un procedimiento de modificación estatutar</w:t>
      </w:r>
      <w:r>
        <w:rPr>
          <w:rFonts w:ascii="Arial" w:eastAsia="Arial" w:hAnsi="Arial" w:cs="Arial"/>
          <w:i/>
        </w:rPr>
        <w:t xml:space="preserve">ia de aquellas entidades del sector público autonómico con presupuesto estimativo que vayan a ser declaradas medio propio personificado de las entidades canarias para: </w:t>
      </w:r>
    </w:p>
    <w:p w:rsidR="00FA7413" w:rsidRDefault="00D712A8">
      <w:pPr>
        <w:spacing w:after="0"/>
        <w:ind w:left="1080"/>
      </w:pPr>
      <w:r>
        <w:rPr>
          <w:rFonts w:ascii="Arial" w:eastAsia="Arial" w:hAnsi="Arial" w:cs="Arial"/>
          <w:i/>
        </w:rPr>
        <w:t xml:space="preserve"> </w:t>
      </w:r>
    </w:p>
    <w:p w:rsidR="00FA7413" w:rsidRDefault="00D712A8">
      <w:pPr>
        <w:numPr>
          <w:ilvl w:val="1"/>
          <w:numId w:val="31"/>
        </w:numPr>
        <w:spacing w:after="0" w:line="247" w:lineRule="auto"/>
        <w:ind w:right="62" w:hanging="355"/>
        <w:jc w:val="both"/>
      </w:pPr>
      <w:r>
        <w:rPr>
          <w:rFonts w:ascii="Arial" w:eastAsia="Arial" w:hAnsi="Arial" w:cs="Arial"/>
          <w:i/>
        </w:rPr>
        <w:t>La inclusión del reconocimiento expreso de la condición de medio propio personificado</w:t>
      </w:r>
      <w:r>
        <w:rPr>
          <w:rFonts w:ascii="Arial" w:eastAsia="Arial" w:hAnsi="Arial" w:cs="Arial"/>
          <w:i/>
        </w:rPr>
        <w:t xml:space="preserve"> de la sociedad respecto a todos los poderes adjudicadores que así lo establezcan. </w:t>
      </w:r>
    </w:p>
    <w:p w:rsidR="00FA7413" w:rsidRDefault="00D712A8">
      <w:pPr>
        <w:spacing w:after="0"/>
        <w:ind w:left="1073"/>
      </w:pPr>
      <w:r>
        <w:rPr>
          <w:rFonts w:ascii="Arial" w:eastAsia="Arial" w:hAnsi="Arial" w:cs="Arial"/>
          <w:i/>
        </w:rPr>
        <w:t xml:space="preserve"> </w:t>
      </w:r>
    </w:p>
    <w:p w:rsidR="00FA7413" w:rsidRDefault="00D712A8">
      <w:pPr>
        <w:numPr>
          <w:ilvl w:val="1"/>
          <w:numId w:val="31"/>
        </w:numPr>
        <w:spacing w:after="3" w:line="241" w:lineRule="auto"/>
        <w:ind w:right="62" w:hanging="355"/>
        <w:jc w:val="both"/>
      </w:pPr>
      <w:r>
        <w:rPr>
          <w:rFonts w:ascii="Arial" w:eastAsia="Arial" w:hAnsi="Arial" w:cs="Arial"/>
          <w:i/>
        </w:rPr>
        <w:t xml:space="preserve">La previsión de que el medio propio personificado dispone de los medios suficientes e idóneos para realizar las prestaciones en el sector de la actividad que se corresponda con su objeto social de acuerdo con su norma o acuerdo de creación. </w:t>
      </w:r>
    </w:p>
    <w:p w:rsidR="00FA7413" w:rsidRDefault="00D712A8">
      <w:pPr>
        <w:spacing w:after="0"/>
        <w:ind w:left="360"/>
      </w:pPr>
      <w:r>
        <w:rPr>
          <w:rFonts w:ascii="Arial" w:eastAsia="Arial" w:hAnsi="Arial" w:cs="Arial"/>
          <w:i/>
        </w:rPr>
        <w:t xml:space="preserve"> </w:t>
      </w:r>
    </w:p>
    <w:p w:rsidR="00FA7413" w:rsidRDefault="00D712A8">
      <w:pPr>
        <w:numPr>
          <w:ilvl w:val="1"/>
          <w:numId w:val="31"/>
        </w:numPr>
        <w:spacing w:after="0" w:line="247" w:lineRule="auto"/>
        <w:ind w:right="62" w:hanging="355"/>
        <w:jc w:val="both"/>
      </w:pPr>
      <w:r>
        <w:rPr>
          <w:rFonts w:ascii="Arial" w:eastAsia="Arial" w:hAnsi="Arial" w:cs="Arial"/>
          <w:i/>
        </w:rPr>
        <w:t>La inclusión</w:t>
      </w:r>
      <w:r>
        <w:rPr>
          <w:rFonts w:ascii="Arial" w:eastAsia="Arial" w:hAnsi="Arial" w:cs="Arial"/>
          <w:i/>
        </w:rPr>
        <w:t xml:space="preserve"> del reconocimiento expreso de que la comunicación encargando una actuación, efectuada por cualquiera de los poderes adjudicadores (Comunidad Autónoma, Cabildos Insulares y Ayuntamientos) supondrá su ejecución obligatoria, debiéndose adoptar todas las medi</w:t>
      </w:r>
      <w:r>
        <w:rPr>
          <w:rFonts w:ascii="Arial" w:eastAsia="Arial" w:hAnsi="Arial" w:cs="Arial"/>
          <w:i/>
        </w:rPr>
        <w:t xml:space="preserve">das necesarias por las partes para garantizar el cumplimiento del principio de sostenibilidad financiera. </w:t>
      </w:r>
    </w:p>
    <w:p w:rsidR="00FA7413" w:rsidRDefault="00D712A8">
      <w:pPr>
        <w:spacing w:after="0"/>
        <w:ind w:left="360"/>
      </w:pPr>
      <w:r>
        <w:rPr>
          <w:rFonts w:ascii="Arial" w:eastAsia="Arial" w:hAnsi="Arial" w:cs="Arial"/>
          <w:i/>
        </w:rPr>
        <w:t xml:space="preserve"> </w:t>
      </w:r>
    </w:p>
    <w:p w:rsidR="00FA7413" w:rsidRDefault="00D712A8">
      <w:pPr>
        <w:numPr>
          <w:ilvl w:val="1"/>
          <w:numId w:val="31"/>
        </w:numPr>
        <w:spacing w:after="0" w:line="247" w:lineRule="auto"/>
        <w:ind w:right="62" w:hanging="355"/>
        <w:jc w:val="both"/>
      </w:pPr>
      <w:r>
        <w:rPr>
          <w:rFonts w:ascii="Arial" w:eastAsia="Arial" w:hAnsi="Arial" w:cs="Arial"/>
          <w:i/>
        </w:rPr>
        <w:t>La modificación de la composición del consejo de administración para incrementar en dos miembros el número de vocales, que serían designados por la</w:t>
      </w:r>
      <w:r>
        <w:rPr>
          <w:rFonts w:ascii="Arial" w:eastAsia="Arial" w:hAnsi="Arial" w:cs="Arial"/>
          <w:i/>
        </w:rPr>
        <w:t xml:space="preserve">s Corporaciones Locales canarias y representarían, uno de ellos, a la totalidad de los Cabildos Insulares y, otro, a la totalidad de los Ayuntamiento que le consideraran medio propio personificado. </w:t>
      </w:r>
    </w:p>
    <w:p w:rsidR="00FA7413" w:rsidRDefault="00D712A8">
      <w:pPr>
        <w:spacing w:after="0"/>
        <w:ind w:left="1080"/>
      </w:pPr>
      <w:r>
        <w:rPr>
          <w:rFonts w:ascii="Arial" w:eastAsia="Arial" w:hAnsi="Arial" w:cs="Arial"/>
          <w:i/>
        </w:rPr>
        <w:t xml:space="preserve"> </w:t>
      </w:r>
    </w:p>
    <w:p w:rsidR="00FA7413" w:rsidRDefault="00D712A8">
      <w:pPr>
        <w:numPr>
          <w:ilvl w:val="1"/>
          <w:numId w:val="31"/>
        </w:numPr>
        <w:spacing w:after="0" w:line="247" w:lineRule="auto"/>
        <w:ind w:right="62" w:hanging="355"/>
        <w:jc w:val="both"/>
      </w:pPr>
      <w:r>
        <w:rPr>
          <w:rFonts w:ascii="Arial" w:eastAsia="Arial" w:hAnsi="Arial" w:cs="Arial"/>
          <w:i/>
        </w:rPr>
        <w:t xml:space="preserve">La previsión de un procedimiento acorde a la normativa </w:t>
      </w:r>
      <w:r>
        <w:rPr>
          <w:rFonts w:ascii="Arial" w:eastAsia="Arial" w:hAnsi="Arial" w:cs="Arial"/>
          <w:i/>
        </w:rPr>
        <w:t xml:space="preserve">de sociedades de capital que sirva para la resolución de conflictos de intereses que eventualmente pudieran surgir entre los poderes adjudicadores que ejercen influencia decisiva sobre los objetivos de la sociedad o entre estos y la propia sociedad. </w:t>
      </w:r>
    </w:p>
    <w:p w:rsidR="00FA7413" w:rsidRDefault="00D712A8">
      <w:pPr>
        <w:spacing w:after="0"/>
        <w:ind w:left="1080"/>
      </w:pPr>
      <w:r>
        <w:rPr>
          <w:rFonts w:ascii="Arial" w:eastAsia="Arial" w:hAnsi="Arial" w:cs="Arial"/>
          <w:i/>
        </w:rPr>
        <w:t xml:space="preserve"> </w:t>
      </w:r>
    </w:p>
    <w:p w:rsidR="00FA7413" w:rsidRDefault="00D712A8">
      <w:pPr>
        <w:numPr>
          <w:ilvl w:val="1"/>
          <w:numId w:val="31"/>
        </w:numPr>
        <w:spacing w:after="0" w:line="247" w:lineRule="auto"/>
        <w:ind w:right="62" w:hanging="355"/>
        <w:jc w:val="both"/>
      </w:pPr>
      <w:r>
        <w:rPr>
          <w:rFonts w:ascii="Arial" w:eastAsia="Arial" w:hAnsi="Arial" w:cs="Arial"/>
          <w:i/>
        </w:rPr>
        <w:t xml:space="preserve">La </w:t>
      </w:r>
      <w:r>
        <w:rPr>
          <w:rFonts w:ascii="Arial" w:eastAsia="Arial" w:hAnsi="Arial" w:cs="Arial"/>
          <w:i/>
        </w:rPr>
        <w:t>previsión de que el Consejo de Administración de las entidades del sector públicos autonómico con presupuesto estimativo que vayan a ser declaradas medio propio personificado de las entidades locales en que así se constituya, pueda crear un comité de repre</w:t>
      </w:r>
      <w:r>
        <w:rPr>
          <w:rFonts w:ascii="Arial" w:eastAsia="Arial" w:hAnsi="Arial" w:cs="Arial"/>
          <w:i/>
        </w:rPr>
        <w:t>sentación paritaria de todos los poderes adjudicadores que le hayan declarado medio propio personificado, encargado de definir los objetivos y estrategias de la entidad, acordes con los objetivos y estrategias de cada uno de los encomendantes, así como efe</w:t>
      </w:r>
      <w:r>
        <w:rPr>
          <w:rFonts w:ascii="Arial" w:eastAsia="Arial" w:hAnsi="Arial" w:cs="Arial"/>
          <w:i/>
        </w:rPr>
        <w:t>ctuar un control reforzado de las actuaciones concretas a realizar por la entidad para atender los encargos que le realicen los diferentes poderes adjudicadores. Dicho órgano establecerá qué actuaciones se considerarán prioritarias atendiendo a las polític</w:t>
      </w:r>
      <w:r>
        <w:rPr>
          <w:rFonts w:ascii="Arial" w:eastAsia="Arial" w:hAnsi="Arial" w:cs="Arial"/>
          <w:i/>
        </w:rPr>
        <w:t xml:space="preserve">as en las que se encuadra cada encargo.  </w:t>
      </w:r>
    </w:p>
    <w:p w:rsidR="00FA7413" w:rsidRDefault="00D712A8">
      <w:pPr>
        <w:spacing w:after="0"/>
        <w:ind w:left="1080"/>
      </w:pPr>
      <w:r>
        <w:rPr>
          <w:rFonts w:ascii="Arial" w:eastAsia="Arial" w:hAnsi="Arial" w:cs="Arial"/>
          <w:i/>
        </w:rPr>
        <w:t xml:space="preserve"> </w:t>
      </w:r>
    </w:p>
    <w:p w:rsidR="00FA7413" w:rsidRDefault="00D712A8">
      <w:pPr>
        <w:numPr>
          <w:ilvl w:val="1"/>
          <w:numId w:val="31"/>
        </w:numPr>
        <w:spacing w:after="0" w:line="247" w:lineRule="auto"/>
        <w:ind w:right="62" w:hanging="355"/>
        <w:jc w:val="both"/>
      </w:pPr>
      <w:r>
        <w:rPr>
          <w:rFonts w:ascii="Arial" w:eastAsia="Arial" w:hAnsi="Arial" w:cs="Arial"/>
          <w:i/>
        </w:rPr>
        <w:t xml:space="preserve">La inclusión de la prohibición del medio propio personificado de realizar actuaciones contrarias a los fines e intereses públicos de los poderes adjudicadores que hacen los encargos. </w:t>
      </w:r>
    </w:p>
    <w:p w:rsidR="00FA7413" w:rsidRDefault="00D712A8">
      <w:pPr>
        <w:spacing w:after="0"/>
        <w:ind w:left="1080"/>
      </w:pPr>
      <w:r>
        <w:rPr>
          <w:rFonts w:ascii="Arial" w:eastAsia="Arial" w:hAnsi="Arial" w:cs="Arial"/>
          <w:i/>
        </w:rPr>
        <w:t xml:space="preserve"> </w:t>
      </w:r>
    </w:p>
    <w:p w:rsidR="00FA7413" w:rsidRDefault="00D712A8">
      <w:pPr>
        <w:numPr>
          <w:ilvl w:val="1"/>
          <w:numId w:val="31"/>
        </w:numPr>
        <w:spacing w:after="0" w:line="247" w:lineRule="auto"/>
        <w:ind w:right="62" w:hanging="355"/>
        <w:jc w:val="both"/>
      </w:pPr>
      <w:r>
        <w:rPr>
          <w:rFonts w:ascii="Arial" w:eastAsia="Arial" w:hAnsi="Arial" w:cs="Arial"/>
          <w:i/>
        </w:rPr>
        <w:t>La inclusión de un apartad</w:t>
      </w:r>
      <w:r>
        <w:rPr>
          <w:rFonts w:ascii="Arial" w:eastAsia="Arial" w:hAnsi="Arial" w:cs="Arial"/>
          <w:i/>
        </w:rPr>
        <w:t xml:space="preserve">o referido a que las tarifas o presupuestos de los encargos que realicen los poderes adjudicadores que le hay n declarado medio propio personificado deben ser aprobados por la entidad pública de la que dependa el medio propio personificado, respondiendo a </w:t>
      </w:r>
      <w:r>
        <w:rPr>
          <w:rFonts w:ascii="Arial" w:eastAsia="Arial" w:hAnsi="Arial" w:cs="Arial"/>
          <w:i/>
        </w:rPr>
        <w:t xml:space="preserve">los costes y gastos reales en que incurra el medio propio personificado para la ejecución del encargo. </w:t>
      </w:r>
    </w:p>
    <w:p w:rsidR="00FA7413" w:rsidRDefault="00D712A8">
      <w:pPr>
        <w:spacing w:after="0"/>
        <w:ind w:left="1073"/>
      </w:pPr>
      <w:r>
        <w:rPr>
          <w:rFonts w:ascii="Arial" w:eastAsia="Arial" w:hAnsi="Arial" w:cs="Arial"/>
          <w:i/>
        </w:rPr>
        <w:t xml:space="preserve"> </w:t>
      </w:r>
    </w:p>
    <w:p w:rsidR="00FA7413" w:rsidRDefault="00D712A8">
      <w:pPr>
        <w:numPr>
          <w:ilvl w:val="1"/>
          <w:numId w:val="31"/>
        </w:numPr>
        <w:spacing w:after="0" w:line="247" w:lineRule="auto"/>
        <w:ind w:right="62" w:hanging="355"/>
        <w:jc w:val="both"/>
      </w:pPr>
      <w:r>
        <w:rPr>
          <w:noProof/>
        </w:rPr>
        <mc:AlternateContent>
          <mc:Choice Requires="wpg">
            <w:drawing>
              <wp:anchor distT="0" distB="0" distL="114300" distR="114300" simplePos="0" relativeHeight="251785216"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6793" name="Group 216793"/>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4450" name="Rectangle 14450"/>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4451" name="Rectangle 14451"/>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123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6793" style="width:12.7031pt;height:275.586pt;position:absolute;mso-position-horizontal-relative:page;mso-position-horizontal:absolute;margin-left:682.278pt;mso-position-vertical-relative:page;margin-top:536.334pt;" coordsize="1613,34999">
                <v:rect id="Rectangle 14450"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4451"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123 de 180 </w:t>
                        </w:r>
                      </w:p>
                    </w:txbxContent>
                  </v:textbox>
                </v:rect>
                <w10:wrap type="square"/>
              </v:group>
            </w:pict>
          </mc:Fallback>
        </mc:AlternateContent>
      </w:r>
      <w:r>
        <w:rPr>
          <w:rFonts w:ascii="Arial" w:eastAsia="Arial" w:hAnsi="Arial" w:cs="Arial"/>
          <w:i/>
        </w:rPr>
        <w:t>La inclusión de la previsión de que en la memoria integrante de las cuentas anuales del medio propio personificado se incluya un apartado relativo a la justifica</w:t>
      </w:r>
      <w:r>
        <w:rPr>
          <w:rFonts w:ascii="Arial" w:eastAsia="Arial" w:hAnsi="Arial" w:cs="Arial"/>
          <w:i/>
        </w:rPr>
        <w:t xml:space="preserve">ción del cumplimiento del requisito de que la parte esencial de la actividad del medio propio personificado se realice con los entes que la controlan; hecho que deberá ser objeto de verificación por el auditor en la auditoría de cuentas anuales. </w:t>
      </w:r>
    </w:p>
    <w:p w:rsidR="00FA7413" w:rsidRDefault="00D712A8">
      <w:pPr>
        <w:spacing w:after="0"/>
        <w:ind w:left="1080"/>
      </w:pPr>
      <w:r>
        <w:rPr>
          <w:rFonts w:ascii="Arial" w:eastAsia="Arial" w:hAnsi="Arial" w:cs="Arial"/>
          <w:i/>
        </w:rPr>
        <w:t xml:space="preserve"> </w:t>
      </w:r>
    </w:p>
    <w:p w:rsidR="00FA7413" w:rsidRDefault="00D712A8">
      <w:pPr>
        <w:spacing w:after="0" w:line="247" w:lineRule="auto"/>
        <w:ind w:left="1083" w:right="62" w:hanging="10"/>
        <w:jc w:val="both"/>
      </w:pPr>
      <w:r>
        <w:rPr>
          <w:rFonts w:ascii="Arial" w:eastAsia="Arial" w:hAnsi="Arial" w:cs="Arial"/>
          <w:i/>
        </w:rPr>
        <w:t>Dicha p</w:t>
      </w:r>
      <w:r>
        <w:rPr>
          <w:rFonts w:ascii="Arial" w:eastAsia="Arial" w:hAnsi="Arial" w:cs="Arial"/>
          <w:i/>
        </w:rPr>
        <w:t xml:space="preserve">arte esencial será, en todo caso, más del 80% de las actividades del ente destinatario del encargo. </w:t>
      </w:r>
    </w:p>
    <w:p w:rsidR="00FA7413" w:rsidRDefault="00D712A8">
      <w:pPr>
        <w:spacing w:after="0"/>
        <w:ind w:left="1080"/>
      </w:pPr>
      <w:r>
        <w:rPr>
          <w:rFonts w:ascii="Arial" w:eastAsia="Arial" w:hAnsi="Arial" w:cs="Arial"/>
          <w:i/>
        </w:rPr>
        <w:t xml:space="preserve"> </w:t>
      </w:r>
    </w:p>
    <w:p w:rsidR="00FA7413" w:rsidRDefault="00D712A8">
      <w:pPr>
        <w:numPr>
          <w:ilvl w:val="1"/>
          <w:numId w:val="31"/>
        </w:numPr>
        <w:spacing w:after="0" w:line="247" w:lineRule="auto"/>
        <w:ind w:right="62" w:hanging="355"/>
        <w:jc w:val="both"/>
      </w:pPr>
      <w:r>
        <w:rPr>
          <w:rFonts w:ascii="Arial" w:eastAsia="Arial" w:hAnsi="Arial" w:cs="Arial"/>
          <w:i/>
        </w:rPr>
        <w:t>La determinación del régimen jurídico y administrativo de aplicación a los encargos que se les puedan conferir, precisando que los mismo tienen naturalez</w:t>
      </w:r>
      <w:r>
        <w:rPr>
          <w:rFonts w:ascii="Arial" w:eastAsia="Arial" w:hAnsi="Arial" w:cs="Arial"/>
          <w:i/>
        </w:rPr>
        <w:t xml:space="preserve">a administrativa y se regirán por la normativa en vigor reguladora de los encargos a medios propios personificados, quedando excluidos del régimen jurídico de aplicación a los contratos administrativos. </w:t>
      </w:r>
    </w:p>
    <w:p w:rsidR="00FA7413" w:rsidRDefault="00D712A8">
      <w:pPr>
        <w:spacing w:after="0"/>
        <w:ind w:left="1073"/>
      </w:pPr>
      <w:r>
        <w:rPr>
          <w:rFonts w:ascii="Arial" w:eastAsia="Arial" w:hAnsi="Arial" w:cs="Arial"/>
          <w:i/>
        </w:rPr>
        <w:t xml:space="preserve"> </w:t>
      </w:r>
    </w:p>
    <w:p w:rsidR="00FA7413" w:rsidRDefault="00D712A8">
      <w:pPr>
        <w:numPr>
          <w:ilvl w:val="1"/>
          <w:numId w:val="31"/>
        </w:numPr>
        <w:spacing w:after="4" w:line="247" w:lineRule="auto"/>
        <w:ind w:right="62" w:hanging="355"/>
        <w:jc w:val="both"/>
      </w:pPr>
      <w:r>
        <w:rPr>
          <w:rFonts w:ascii="Arial" w:eastAsia="Arial" w:hAnsi="Arial" w:cs="Arial"/>
          <w:i/>
        </w:rPr>
        <w:t>La inclusión de la imposibilidad de que participen</w:t>
      </w:r>
      <w:r>
        <w:rPr>
          <w:rFonts w:ascii="Arial" w:eastAsia="Arial" w:hAnsi="Arial" w:cs="Arial"/>
          <w:i/>
        </w:rPr>
        <w:t xml:space="preserve"> en licitaciones públicas convocadas por el poder adjudicador del que sean medio propio personificado, sin perjuicio de que, cuando no concurra ningún licitador, pueda encargárseles la ejecución de la prestación objeto de la misma.” </w:t>
      </w:r>
    </w:p>
    <w:p w:rsidR="00FA7413" w:rsidRDefault="00D712A8">
      <w:pPr>
        <w:spacing w:after="0"/>
        <w:ind w:left="1080"/>
      </w:pPr>
      <w:r>
        <w:rPr>
          <w:rFonts w:ascii="Arial" w:eastAsia="Arial" w:hAnsi="Arial" w:cs="Arial"/>
          <w:i/>
        </w:rPr>
        <w:t xml:space="preserve"> </w:t>
      </w:r>
    </w:p>
    <w:p w:rsidR="00FA7413" w:rsidRDefault="00D712A8">
      <w:pPr>
        <w:spacing w:after="4" w:line="247" w:lineRule="auto"/>
        <w:ind w:left="718" w:right="62" w:firstLine="350"/>
        <w:jc w:val="both"/>
      </w:pPr>
      <w:r>
        <w:rPr>
          <w:rFonts w:ascii="Arial" w:eastAsia="Arial" w:hAnsi="Arial" w:cs="Arial"/>
          <w:i/>
        </w:rPr>
        <w:t>Visto que consta ofi</w:t>
      </w:r>
      <w:r>
        <w:rPr>
          <w:rFonts w:ascii="Arial" w:eastAsia="Arial" w:hAnsi="Arial" w:cs="Arial"/>
          <w:i/>
        </w:rPr>
        <w:t>cio de fecha 19 de mayo de 2021 firmado por la Alcaldía, con registro de salida nº 1768, en el que se solicita a la entidad “GESTUR, SA”, en el que se le solicita informe de acreditación por parte de esa entidad del cumplimiento de las condiciones prevista</w:t>
      </w:r>
      <w:r>
        <w:rPr>
          <w:rFonts w:ascii="Arial" w:eastAsia="Arial" w:hAnsi="Arial" w:cs="Arial"/>
          <w:i/>
        </w:rPr>
        <w:t xml:space="preserve">s en el art. 32.4 de la LCSP. </w:t>
      </w:r>
    </w:p>
    <w:p w:rsidR="00FA7413" w:rsidRDefault="00D712A8">
      <w:pPr>
        <w:spacing w:after="17"/>
        <w:ind w:left="718"/>
      </w:pPr>
      <w:r>
        <w:rPr>
          <w:rFonts w:ascii="Arial" w:eastAsia="Arial" w:hAnsi="Arial" w:cs="Arial"/>
          <w:i/>
        </w:rPr>
        <w:t xml:space="preserve"> </w:t>
      </w:r>
    </w:p>
    <w:p w:rsidR="00FA7413" w:rsidRDefault="00D712A8">
      <w:pPr>
        <w:spacing w:after="13" w:line="247" w:lineRule="auto"/>
        <w:ind w:left="728" w:right="62" w:hanging="10"/>
        <w:jc w:val="both"/>
      </w:pPr>
      <w:r>
        <w:rPr>
          <w:rFonts w:ascii="Arial" w:eastAsia="Arial" w:hAnsi="Arial" w:cs="Arial"/>
          <w:i/>
        </w:rPr>
        <w:t xml:space="preserve"> </w:t>
      </w:r>
      <w:r>
        <w:rPr>
          <w:rFonts w:ascii="Arial" w:eastAsia="Arial" w:hAnsi="Arial" w:cs="Arial"/>
          <w:i/>
        </w:rPr>
        <w:tab/>
        <w:t>Consta escrito de la entidad “GESTUR CANARIAS, SA”, con registro de entrada de fecha 09 de junio de 2021 y nº, en el que se adjunta certificado de fecha 07 de junio de 2021, del Consejero Delegado de la Sociedad, que cert</w:t>
      </w:r>
      <w:r>
        <w:rPr>
          <w:rFonts w:ascii="Arial" w:eastAsia="Arial" w:hAnsi="Arial" w:cs="Arial"/>
          <w:i/>
        </w:rPr>
        <w:t xml:space="preserve">ifica que la Sociedad cumple con el art.32.4 para ser medio propio personificado del Ayuntamiento de Candelaria, del siguiente tenor literal: </w:t>
      </w:r>
    </w:p>
    <w:p w:rsidR="00FA7413" w:rsidRDefault="00D712A8">
      <w:pPr>
        <w:spacing w:after="11" w:line="247" w:lineRule="auto"/>
        <w:ind w:left="728" w:right="62" w:hanging="10"/>
        <w:jc w:val="both"/>
      </w:pPr>
      <w:r>
        <w:rPr>
          <w:rFonts w:ascii="Arial" w:eastAsia="Arial" w:hAnsi="Arial" w:cs="Arial"/>
          <w:i/>
        </w:rPr>
        <w:t xml:space="preserve">“ </w:t>
      </w:r>
    </w:p>
    <w:p w:rsidR="00FA7413" w:rsidRDefault="00D712A8">
      <w:pPr>
        <w:spacing w:after="0"/>
        <w:ind w:left="718"/>
      </w:pPr>
      <w:r>
        <w:rPr>
          <w:rFonts w:ascii="Arial" w:eastAsia="Arial" w:hAnsi="Arial" w:cs="Arial"/>
          <w:i/>
        </w:rPr>
        <w:t xml:space="preserve"> </w:t>
      </w:r>
      <w:r>
        <w:rPr>
          <w:rFonts w:ascii="Arial" w:eastAsia="Arial" w:hAnsi="Arial" w:cs="Arial"/>
          <w:i/>
        </w:rPr>
        <w:tab/>
        <w:t xml:space="preserve"> </w:t>
      </w:r>
    </w:p>
    <w:p w:rsidR="00FA7413" w:rsidRDefault="00D712A8">
      <w:pPr>
        <w:spacing w:after="0"/>
        <w:ind w:left="346"/>
        <w:jc w:val="center"/>
      </w:pPr>
      <w:r>
        <w:rPr>
          <w:rFonts w:ascii="Arial" w:eastAsia="Arial" w:hAnsi="Arial" w:cs="Arial"/>
          <w:i/>
        </w:rPr>
        <w:t xml:space="preserve"> </w:t>
      </w:r>
    </w:p>
    <w:p w:rsidR="00FA7413" w:rsidRDefault="00D712A8">
      <w:pPr>
        <w:spacing w:after="0"/>
        <w:ind w:left="346"/>
        <w:jc w:val="center"/>
      </w:pPr>
      <w:r>
        <w:rPr>
          <w:rFonts w:ascii="Arial" w:eastAsia="Arial" w:hAnsi="Arial" w:cs="Arial"/>
          <w:i/>
        </w:rPr>
        <w:t xml:space="preserve"> </w:t>
      </w:r>
    </w:p>
    <w:p w:rsidR="00FA7413" w:rsidRDefault="00D712A8">
      <w:pPr>
        <w:spacing w:after="0"/>
        <w:ind w:left="1013" w:right="716" w:hanging="10"/>
        <w:jc w:val="center"/>
      </w:pPr>
      <w:r>
        <w:rPr>
          <w:rFonts w:ascii="Arial" w:eastAsia="Arial" w:hAnsi="Arial" w:cs="Arial"/>
          <w:i/>
        </w:rPr>
        <w:t xml:space="preserve">FUNDAMENTOS JURÍDICOS </w:t>
      </w:r>
    </w:p>
    <w:p w:rsidR="00FA7413" w:rsidRDefault="00D712A8">
      <w:pPr>
        <w:spacing w:after="0"/>
        <w:ind w:left="346"/>
        <w:jc w:val="center"/>
      </w:pPr>
      <w:r>
        <w:rPr>
          <w:rFonts w:ascii="Arial" w:eastAsia="Arial" w:hAnsi="Arial" w:cs="Arial"/>
          <w:i/>
        </w:rPr>
        <w:t xml:space="preserve"> </w:t>
      </w:r>
    </w:p>
    <w:p w:rsidR="00FA7413" w:rsidRDefault="00D712A8">
      <w:pPr>
        <w:spacing w:after="0"/>
        <w:ind w:left="1013" w:right="720" w:hanging="10"/>
        <w:jc w:val="center"/>
      </w:pPr>
      <w:r>
        <w:rPr>
          <w:rFonts w:ascii="Arial" w:eastAsia="Arial" w:hAnsi="Arial" w:cs="Arial"/>
          <w:i/>
        </w:rPr>
        <w:t xml:space="preserve">PRIMERO </w:t>
      </w:r>
    </w:p>
    <w:p w:rsidR="00FA7413" w:rsidRDefault="00D712A8">
      <w:pPr>
        <w:spacing w:after="0"/>
        <w:ind w:left="346"/>
        <w:jc w:val="center"/>
      </w:pPr>
      <w:r>
        <w:rPr>
          <w:rFonts w:ascii="Arial" w:eastAsia="Arial" w:hAnsi="Arial" w:cs="Arial"/>
          <w:i/>
        </w:rPr>
        <w:t xml:space="preserve"> </w:t>
      </w:r>
    </w:p>
    <w:p w:rsidR="00FA7413" w:rsidRDefault="00D712A8">
      <w:pPr>
        <w:spacing w:after="0" w:line="247" w:lineRule="auto"/>
        <w:ind w:left="355" w:right="62" w:hanging="10"/>
        <w:jc w:val="both"/>
      </w:pPr>
      <w:r>
        <w:rPr>
          <w:rFonts w:ascii="Arial" w:eastAsia="Arial" w:hAnsi="Arial" w:cs="Arial"/>
          <w:i/>
        </w:rPr>
        <w:t>-</w:t>
      </w:r>
      <w:r>
        <w:rPr>
          <w:rFonts w:ascii="Arial" w:eastAsia="Arial" w:hAnsi="Arial" w:cs="Arial"/>
          <w:i/>
        </w:rPr>
        <w:t xml:space="preserve">Posibilidad de que el Ayuntamiento considere como medio propio personificado a una entidad del sector público autonómico. </w:t>
      </w:r>
    </w:p>
    <w:p w:rsidR="00FA7413" w:rsidRDefault="00D712A8">
      <w:pPr>
        <w:spacing w:after="0"/>
        <w:ind w:left="360"/>
      </w:pPr>
      <w:r>
        <w:rPr>
          <w:rFonts w:ascii="Arial" w:eastAsia="Arial" w:hAnsi="Arial" w:cs="Arial"/>
          <w:i/>
        </w:rPr>
        <w:t xml:space="preserve"> </w:t>
      </w:r>
    </w:p>
    <w:p w:rsidR="00FA7413" w:rsidRDefault="00D712A8">
      <w:pPr>
        <w:spacing w:after="353" w:line="247" w:lineRule="auto"/>
        <w:ind w:left="355" w:right="62" w:hanging="10"/>
        <w:jc w:val="both"/>
      </w:pPr>
      <w:r>
        <w:rPr>
          <w:rFonts w:ascii="Arial" w:eastAsia="Arial" w:hAnsi="Arial" w:cs="Arial"/>
          <w:i/>
        </w:rPr>
        <w:t xml:space="preserve"> 1.- Art. 32-Régimen jurídico de las encomiendas de gestión- de la Ley 4/2012, de 25 de junio, de medidas administrativas y fiscale</w:t>
      </w:r>
      <w:r>
        <w:rPr>
          <w:rFonts w:ascii="Arial" w:eastAsia="Arial" w:hAnsi="Arial" w:cs="Arial"/>
          <w:i/>
        </w:rPr>
        <w:t xml:space="preserve">s, dice: </w:t>
      </w:r>
    </w:p>
    <w:p w:rsidR="00FA7413" w:rsidRDefault="00D712A8">
      <w:pPr>
        <w:tabs>
          <w:tab w:val="center" w:pos="360"/>
          <w:tab w:val="center" w:pos="4439"/>
        </w:tabs>
        <w:spacing w:after="148" w:line="248" w:lineRule="auto"/>
      </w:pPr>
      <w:r>
        <w:tab/>
      </w:r>
      <w:r>
        <w:rPr>
          <w:rFonts w:ascii="Arial" w:eastAsia="Arial" w:hAnsi="Arial" w:cs="Arial"/>
          <w:b/>
          <w:color w:val="2E74B5"/>
        </w:rPr>
        <w:t xml:space="preserve"> </w:t>
      </w:r>
      <w:r>
        <w:rPr>
          <w:rFonts w:ascii="Arial" w:eastAsia="Arial" w:hAnsi="Arial" w:cs="Arial"/>
          <w:b/>
          <w:color w:val="2E74B5"/>
        </w:rPr>
        <w:tab/>
        <w:t xml:space="preserve">“ </w:t>
      </w:r>
      <w:r>
        <w:rPr>
          <w:rFonts w:ascii="Arial" w:eastAsia="Arial" w:hAnsi="Arial" w:cs="Arial"/>
          <w:b/>
        </w:rPr>
        <w:t>Artículo 32. Régimen jurídico de las encomiendas de gestión.</w:t>
      </w:r>
      <w:r>
        <w:rPr>
          <w:color w:val="2E74B5"/>
          <w:sz w:val="24"/>
        </w:rPr>
        <w:t xml:space="preserve"> </w:t>
      </w:r>
    </w:p>
    <w:p w:rsidR="00FA7413" w:rsidRDefault="00D712A8">
      <w:pPr>
        <w:spacing w:after="154" w:line="247" w:lineRule="auto"/>
        <w:ind w:left="345" w:right="62" w:firstLine="360"/>
        <w:jc w:val="both"/>
      </w:pPr>
      <w:r>
        <w:rPr>
          <w:noProof/>
        </w:rPr>
        <mc:AlternateContent>
          <mc:Choice Requires="wpg">
            <w:drawing>
              <wp:anchor distT="0" distB="0" distL="114300" distR="114300" simplePos="0" relativeHeight="251786240"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7847" name="Group 217847"/>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4600" name="Rectangle 14600"/>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4601" name="Rectangle 14601"/>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124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7847" style="width:12.7031pt;height:275.586pt;position:absolute;mso-position-horizontal-relative:page;mso-position-horizontal:absolute;margin-left:682.278pt;mso-position-vertical-relative:page;margin-top:536.334pt;" coordsize="1613,34999">
                <v:rect id="Rectangle 14600"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4601"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124 de 180 </w:t>
                        </w:r>
                      </w:p>
                    </w:txbxContent>
                  </v:textbox>
                </v:rect>
                <w10:wrap type="square"/>
              </v:group>
            </w:pict>
          </mc:Fallback>
        </mc:AlternateContent>
      </w:r>
      <w:r>
        <w:rPr>
          <w:rFonts w:ascii="Arial" w:eastAsia="Arial" w:hAnsi="Arial" w:cs="Arial"/>
          <w:i/>
        </w:rPr>
        <w:t>“1. Los entes, organismos y entidades del sector público que cumplan con lo establecido en el artículo 24.6 del texto refundido de la Ley de Contratos del Sector</w:t>
      </w:r>
      <w:r>
        <w:rPr>
          <w:rFonts w:ascii="Arial" w:eastAsia="Arial" w:hAnsi="Arial" w:cs="Arial"/>
          <w:i/>
        </w:rPr>
        <w:t xml:space="preserve"> Público, aprobado por Real Decreto Legislativo 3/2011, de 14 de noviembre, podrán realizar las actividades de carácter material, técnico o de servicios que le encomienden la Administración Pública de la Comunidad Autónoma de Canarias, los organismos autón</w:t>
      </w:r>
      <w:r>
        <w:rPr>
          <w:rFonts w:ascii="Arial" w:eastAsia="Arial" w:hAnsi="Arial" w:cs="Arial"/>
          <w:i/>
        </w:rPr>
        <w:t>omos dependientes de ella y los cabildos insulares en el marco de sus respectivas competencias y funciones y en las materias que constituyen el objeto social de los mismos, y especialmente, aquellas que sean urgentes o que se ordenen como consecuencia de l</w:t>
      </w:r>
      <w:r>
        <w:rPr>
          <w:rFonts w:ascii="Arial" w:eastAsia="Arial" w:hAnsi="Arial" w:cs="Arial"/>
          <w:i/>
        </w:rPr>
        <w:t>as situaciones de emergencia que se declaren.</w:t>
      </w:r>
      <w:r>
        <w:rPr>
          <w:rFonts w:ascii="Times New Roman" w:eastAsia="Times New Roman" w:hAnsi="Times New Roman" w:cs="Times New Roman"/>
          <w:sz w:val="24"/>
        </w:rPr>
        <w:t xml:space="preserve"> </w:t>
      </w:r>
    </w:p>
    <w:p w:rsidR="00FA7413" w:rsidRDefault="00D712A8">
      <w:pPr>
        <w:numPr>
          <w:ilvl w:val="0"/>
          <w:numId w:val="32"/>
        </w:numPr>
        <w:spacing w:after="155" w:line="247" w:lineRule="auto"/>
        <w:ind w:right="62" w:firstLine="360"/>
        <w:jc w:val="both"/>
      </w:pPr>
      <w:r>
        <w:rPr>
          <w:rFonts w:ascii="Arial" w:eastAsia="Arial" w:hAnsi="Arial" w:cs="Arial"/>
          <w:i/>
        </w:rPr>
        <w:t>Las encomiendas de gestión a que se refieren los apartados anteriores se formalizarán por escrito y regularán mediante los instrumentos jurídicos, que deberán ser autorizados por el titular del departamento al</w:t>
      </w:r>
      <w:r>
        <w:rPr>
          <w:rFonts w:ascii="Arial" w:eastAsia="Arial" w:hAnsi="Arial" w:cs="Arial"/>
          <w:i/>
        </w:rPr>
        <w:t xml:space="preserve"> que estén adscritas las entidades encomendadas. Deberán incluir, al menos, una relación detallada de la actividad o actividades a las que afecten y su plazo de realización.</w:t>
      </w:r>
      <w:r>
        <w:rPr>
          <w:rFonts w:ascii="Times New Roman" w:eastAsia="Times New Roman" w:hAnsi="Times New Roman" w:cs="Times New Roman"/>
          <w:sz w:val="24"/>
        </w:rPr>
        <w:t xml:space="preserve"> </w:t>
      </w:r>
    </w:p>
    <w:p w:rsidR="00FA7413" w:rsidRDefault="00D712A8">
      <w:pPr>
        <w:numPr>
          <w:ilvl w:val="0"/>
          <w:numId w:val="32"/>
        </w:numPr>
        <w:spacing w:after="154" w:line="247" w:lineRule="auto"/>
        <w:ind w:right="62" w:firstLine="360"/>
        <w:jc w:val="both"/>
      </w:pPr>
      <w:r>
        <w:rPr>
          <w:rFonts w:ascii="Arial" w:eastAsia="Arial" w:hAnsi="Arial" w:cs="Arial"/>
          <w:i/>
        </w:rPr>
        <w:t>La encomienda de dichas actividades no podrá implicar, en ningún caso, la atribuc</w:t>
      </w:r>
      <w:r>
        <w:rPr>
          <w:rFonts w:ascii="Arial" w:eastAsia="Arial" w:hAnsi="Arial" w:cs="Arial"/>
          <w:i/>
        </w:rPr>
        <w:t>ión a las entidades encomendadas de potestades, funciones o facultades sujetas a Derecho Administrativo propias de la Administración.</w:t>
      </w:r>
      <w:r>
        <w:rPr>
          <w:rFonts w:ascii="Times New Roman" w:eastAsia="Times New Roman" w:hAnsi="Times New Roman" w:cs="Times New Roman"/>
          <w:sz w:val="24"/>
        </w:rPr>
        <w:t xml:space="preserve"> </w:t>
      </w:r>
    </w:p>
    <w:p w:rsidR="00FA7413" w:rsidRDefault="00D712A8">
      <w:pPr>
        <w:numPr>
          <w:ilvl w:val="0"/>
          <w:numId w:val="32"/>
        </w:numPr>
        <w:spacing w:after="157" w:line="247" w:lineRule="auto"/>
        <w:ind w:right="62" w:firstLine="360"/>
        <w:jc w:val="both"/>
      </w:pPr>
      <w:r>
        <w:rPr>
          <w:rFonts w:ascii="Arial" w:eastAsia="Arial" w:hAnsi="Arial" w:cs="Arial"/>
          <w:i/>
        </w:rPr>
        <w:t>La comunicación del encargo de una actuación específica supondrá, para las entidades encomendadas, la orden para iniciarl</w:t>
      </w:r>
      <w:r>
        <w:rPr>
          <w:rFonts w:ascii="Arial" w:eastAsia="Arial" w:hAnsi="Arial" w:cs="Arial"/>
          <w:i/>
        </w:rPr>
        <w:t>a, debiendo realizar su ejecución a partir de dicha notificación, y en los términos previstos en el correspondiente instrumento jurídico y en el propio encargo.</w:t>
      </w:r>
      <w:r>
        <w:rPr>
          <w:rFonts w:ascii="Times New Roman" w:eastAsia="Times New Roman" w:hAnsi="Times New Roman" w:cs="Times New Roman"/>
          <w:sz w:val="24"/>
        </w:rPr>
        <w:t xml:space="preserve"> </w:t>
      </w:r>
    </w:p>
    <w:p w:rsidR="00FA7413" w:rsidRDefault="00D712A8">
      <w:pPr>
        <w:numPr>
          <w:ilvl w:val="0"/>
          <w:numId w:val="32"/>
        </w:numPr>
        <w:spacing w:after="154" w:line="247" w:lineRule="auto"/>
        <w:ind w:right="62" w:firstLine="360"/>
        <w:jc w:val="both"/>
      </w:pPr>
      <w:r>
        <w:rPr>
          <w:rFonts w:ascii="Arial" w:eastAsia="Arial" w:hAnsi="Arial" w:cs="Arial"/>
          <w:i/>
        </w:rPr>
        <w:t xml:space="preserve">La tramitación del encargo podrá ultimarse anticipadamente cuando su ejecución deba iniciarse </w:t>
      </w:r>
      <w:r>
        <w:rPr>
          <w:rFonts w:ascii="Arial" w:eastAsia="Arial" w:hAnsi="Arial" w:cs="Arial"/>
          <w:i/>
        </w:rPr>
        <w:t>en el ejercicio siguiente. En tales casos, el escrito de encargo de la encomienda deberá contener expresa referencia a que la realización del encargo queda sujeta a la condición de que en el ejercicio siguiente exista crédito adecuado y suficiente para fin</w:t>
      </w:r>
      <w:r>
        <w:rPr>
          <w:rFonts w:ascii="Arial" w:eastAsia="Arial" w:hAnsi="Arial" w:cs="Arial"/>
          <w:i/>
        </w:rPr>
        <w:t>anciar las actuaciones objeto del encargo. La efectiva ejecución de la encomienda no comenzará hasta que, iniciado el ejercicio siguiente y contraído el crédito, se curse la correspondiente comunicación al respecto.</w:t>
      </w:r>
      <w:r>
        <w:rPr>
          <w:rFonts w:ascii="Times New Roman" w:eastAsia="Times New Roman" w:hAnsi="Times New Roman" w:cs="Times New Roman"/>
          <w:sz w:val="24"/>
        </w:rPr>
        <w:t xml:space="preserve"> </w:t>
      </w:r>
    </w:p>
    <w:p w:rsidR="00FA7413" w:rsidRDefault="00D712A8">
      <w:pPr>
        <w:numPr>
          <w:ilvl w:val="0"/>
          <w:numId w:val="32"/>
        </w:numPr>
        <w:spacing w:after="161" w:line="247" w:lineRule="auto"/>
        <w:ind w:right="62" w:firstLine="360"/>
        <w:jc w:val="both"/>
      </w:pPr>
      <w:r>
        <w:rPr>
          <w:rFonts w:ascii="Arial" w:eastAsia="Arial" w:hAnsi="Arial" w:cs="Arial"/>
          <w:i/>
        </w:rPr>
        <w:t>El importe de las actuaciones objeto de</w:t>
      </w:r>
      <w:r>
        <w:rPr>
          <w:rFonts w:ascii="Arial" w:eastAsia="Arial" w:hAnsi="Arial" w:cs="Arial"/>
          <w:i/>
        </w:rPr>
        <w:t xml:space="preserve"> encomienda se determinará atendiendo a costes reales, tanto directos como indirectos, necesarios para su realización, aplicando a las unidades ejecutadas las tarifas que estuviesen aprobadas, o, en su defecto, los precios que figuren en el presupuesto de </w:t>
      </w:r>
      <w:r>
        <w:rPr>
          <w:rFonts w:ascii="Arial" w:eastAsia="Arial" w:hAnsi="Arial" w:cs="Arial"/>
          <w:i/>
        </w:rPr>
        <w:t>ejecución previsto en la encomienda.</w:t>
      </w:r>
      <w:r>
        <w:rPr>
          <w:rFonts w:ascii="Times New Roman" w:eastAsia="Times New Roman" w:hAnsi="Times New Roman" w:cs="Times New Roman"/>
          <w:sz w:val="24"/>
        </w:rPr>
        <w:t xml:space="preserve"> </w:t>
      </w:r>
    </w:p>
    <w:p w:rsidR="00FA7413" w:rsidRDefault="00D712A8">
      <w:pPr>
        <w:numPr>
          <w:ilvl w:val="0"/>
          <w:numId w:val="32"/>
        </w:numPr>
        <w:spacing w:after="154" w:line="247" w:lineRule="auto"/>
        <w:ind w:right="62" w:firstLine="360"/>
        <w:jc w:val="both"/>
      </w:pPr>
      <w:r>
        <w:rPr>
          <w:rFonts w:ascii="Arial" w:eastAsia="Arial" w:hAnsi="Arial" w:cs="Arial"/>
          <w:i/>
        </w:rPr>
        <w:t>En el caso de cofinanciarse con fondos europeos, se deberá hacer constar dicha circunstancia en la encomienda, así como la obligatoriedad de cumplimiento de la normativa europea afectada.</w:t>
      </w:r>
      <w:r>
        <w:rPr>
          <w:rFonts w:ascii="Times New Roman" w:eastAsia="Times New Roman" w:hAnsi="Times New Roman" w:cs="Times New Roman"/>
          <w:sz w:val="24"/>
        </w:rPr>
        <w:t xml:space="preserve"> </w:t>
      </w:r>
    </w:p>
    <w:p w:rsidR="00FA7413" w:rsidRDefault="00D712A8">
      <w:pPr>
        <w:numPr>
          <w:ilvl w:val="0"/>
          <w:numId w:val="32"/>
        </w:numPr>
        <w:spacing w:after="156" w:line="247" w:lineRule="auto"/>
        <w:ind w:right="62" w:firstLine="360"/>
        <w:jc w:val="both"/>
      </w:pPr>
      <w:r>
        <w:rPr>
          <w:rFonts w:ascii="Arial" w:eastAsia="Arial" w:hAnsi="Arial" w:cs="Arial"/>
          <w:i/>
        </w:rPr>
        <w:t>Cuando en el ejercicio del co</w:t>
      </w:r>
      <w:r>
        <w:rPr>
          <w:rFonts w:ascii="Arial" w:eastAsia="Arial" w:hAnsi="Arial" w:cs="Arial"/>
          <w:i/>
        </w:rPr>
        <w:t>ntrol financiero o de auditoría pública, la Intervención General de la Administración Pública de la Comunidad Autónoma de Canarias detectase el abono a la entidad encomendada de cantidades que excedan de los gastos, directos e indirectos, del encargo reali</w:t>
      </w:r>
      <w:r>
        <w:rPr>
          <w:rFonts w:ascii="Arial" w:eastAsia="Arial" w:hAnsi="Arial" w:cs="Arial"/>
          <w:i/>
        </w:rPr>
        <w:t>zado, o no se hubiera cumplido con el objeto del encargo, ésta emitirá un informe dirigido al órgano que realizó la encomienda para que proceda al inicio del oportuno expediente de reintegro o manifieste la discrepancia con su incoación.</w:t>
      </w:r>
      <w:r>
        <w:rPr>
          <w:rFonts w:ascii="Times New Roman" w:eastAsia="Times New Roman" w:hAnsi="Times New Roman" w:cs="Times New Roman"/>
          <w:sz w:val="24"/>
        </w:rPr>
        <w:t xml:space="preserve"> </w:t>
      </w:r>
    </w:p>
    <w:p w:rsidR="00FA7413" w:rsidRDefault="00D712A8">
      <w:pPr>
        <w:numPr>
          <w:ilvl w:val="0"/>
          <w:numId w:val="32"/>
        </w:numPr>
        <w:spacing w:after="154" w:line="247" w:lineRule="auto"/>
        <w:ind w:right="62" w:firstLine="360"/>
        <w:jc w:val="both"/>
      </w:pPr>
      <w:r>
        <w:rPr>
          <w:rFonts w:ascii="Arial" w:eastAsia="Arial" w:hAnsi="Arial" w:cs="Arial"/>
          <w:i/>
        </w:rPr>
        <w:t>El procedimiento de reintegro se regirá por las disposiciones generales sobre procedimientos administrativos contenidas en el título VI de la Ley 30/1992, de 26 de noviembre, de Régimen Jurídico de las Administraciones Públicas y del Procedimiento Administ</w:t>
      </w:r>
      <w:r>
        <w:rPr>
          <w:rFonts w:ascii="Arial" w:eastAsia="Arial" w:hAnsi="Arial" w:cs="Arial"/>
          <w:i/>
        </w:rPr>
        <w:t>rativo Común.</w:t>
      </w:r>
      <w:r>
        <w:rPr>
          <w:rFonts w:ascii="Times New Roman" w:eastAsia="Times New Roman" w:hAnsi="Times New Roman" w:cs="Times New Roman"/>
          <w:sz w:val="24"/>
        </w:rPr>
        <w:t xml:space="preserve"> </w:t>
      </w:r>
    </w:p>
    <w:p w:rsidR="00FA7413" w:rsidRDefault="00D712A8">
      <w:pPr>
        <w:numPr>
          <w:ilvl w:val="0"/>
          <w:numId w:val="32"/>
        </w:numPr>
        <w:spacing w:after="149" w:line="247" w:lineRule="auto"/>
        <w:ind w:right="62" w:firstLine="360"/>
        <w:jc w:val="both"/>
      </w:pPr>
      <w:r>
        <w:rPr>
          <w:rFonts w:ascii="Arial" w:eastAsia="Arial" w:hAnsi="Arial" w:cs="Arial"/>
          <w:i/>
        </w:rPr>
        <w:t>Las cantidades a reintegrar tendrán la consideración de ingresos de Derecho Público, siéndoles aplicables las normas sobre recaudación contenidas en la legislación tributaria.”</w:t>
      </w:r>
      <w:r>
        <w:rPr>
          <w:rFonts w:ascii="Times New Roman" w:eastAsia="Times New Roman" w:hAnsi="Times New Roman" w:cs="Times New Roman"/>
          <w:sz w:val="24"/>
        </w:rPr>
        <w:t xml:space="preserve"> </w:t>
      </w:r>
    </w:p>
    <w:p w:rsidR="00FA7413" w:rsidRDefault="00D712A8">
      <w:pPr>
        <w:spacing w:after="0"/>
        <w:ind w:left="360"/>
      </w:pPr>
      <w:r>
        <w:rPr>
          <w:rFonts w:ascii="Arial" w:eastAsia="Arial" w:hAnsi="Arial" w:cs="Arial"/>
          <w:i/>
        </w:rPr>
        <w:t xml:space="preserve"> </w:t>
      </w:r>
    </w:p>
    <w:p w:rsidR="00FA7413" w:rsidRDefault="00D712A8">
      <w:pPr>
        <w:spacing w:after="0"/>
        <w:ind w:left="360"/>
      </w:pPr>
      <w:r>
        <w:rPr>
          <w:rFonts w:ascii="Arial" w:eastAsia="Arial" w:hAnsi="Arial" w:cs="Arial"/>
          <w:i/>
        </w:rPr>
        <w:t xml:space="preserve"> </w:t>
      </w:r>
    </w:p>
    <w:p w:rsidR="00FA7413" w:rsidRDefault="00D712A8">
      <w:pPr>
        <w:spacing w:after="0"/>
        <w:ind w:left="1013" w:hanging="10"/>
        <w:jc w:val="center"/>
      </w:pPr>
      <w:r>
        <w:rPr>
          <w:rFonts w:ascii="Arial" w:eastAsia="Arial" w:hAnsi="Arial" w:cs="Arial"/>
          <w:i/>
        </w:rPr>
        <w:t xml:space="preserve">SEGUNDO </w:t>
      </w:r>
    </w:p>
    <w:p w:rsidR="00FA7413" w:rsidRDefault="00D712A8">
      <w:pPr>
        <w:spacing w:after="0"/>
        <w:ind w:left="1066"/>
        <w:jc w:val="center"/>
      </w:pPr>
      <w:r>
        <w:rPr>
          <w:rFonts w:ascii="Arial" w:eastAsia="Arial" w:hAnsi="Arial" w:cs="Arial"/>
          <w:i/>
        </w:rPr>
        <w:t xml:space="preserve"> </w:t>
      </w:r>
    </w:p>
    <w:p w:rsidR="00FA7413" w:rsidRDefault="00D712A8">
      <w:pPr>
        <w:pBdr>
          <w:bottom w:val="single" w:sz="6" w:space="0" w:color="CCCCCC"/>
        </w:pBdr>
        <w:shd w:val="clear" w:color="auto" w:fill="F9F9F9"/>
        <w:spacing w:after="229" w:line="216" w:lineRule="auto"/>
        <w:ind w:left="355" w:right="58" w:hanging="10"/>
        <w:jc w:val="both"/>
      </w:pPr>
      <w:r>
        <w:rPr>
          <w:noProof/>
        </w:rPr>
        <mc:AlternateContent>
          <mc:Choice Requires="wpg">
            <w:drawing>
              <wp:anchor distT="0" distB="0" distL="114300" distR="114300" simplePos="0" relativeHeight="251787264"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8290" name="Group 218290"/>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4730" name="Rectangle 14730"/>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w:t>
                              </w: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4731" name="Rectangle 14731"/>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125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8290" style="width:12.7031pt;height:275.586pt;position:absolute;mso-position-horizontal-relative:page;mso-position-horizontal:absolute;margin-left:682.278pt;mso-position-vertical-relative:page;margin-top:536.334pt;" coordsize="1613,34999">
                <v:rect id="Rectangle 14730"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4731"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125 de 180 </w:t>
                        </w:r>
                      </w:p>
                    </w:txbxContent>
                  </v:textbox>
                </v:rect>
                <w10:wrap type="square"/>
              </v:group>
            </w:pict>
          </mc:Fallback>
        </mc:AlternateContent>
      </w:r>
      <w:r>
        <w:rPr>
          <w:rFonts w:ascii="Arial" w:eastAsia="Arial" w:hAnsi="Arial" w:cs="Arial"/>
          <w:i/>
        </w:rPr>
        <w:t xml:space="preserve"> </w:t>
      </w:r>
      <w:r>
        <w:rPr>
          <w:rFonts w:ascii="Arial" w:eastAsia="Arial" w:hAnsi="Arial" w:cs="Arial"/>
          <w:i/>
        </w:rPr>
        <w:t>Ley 9/2017, de 8 de noviembre, de Contratos del Sector Público, por la que se transponen al ordenamiento jurídico español las Directivas del Parlamento Europeo y del Consejo 2014/23/UE y 2014/24/UE, de 26 de febrero de 2014.</w:t>
      </w:r>
      <w:r>
        <w:rPr>
          <w:sz w:val="26"/>
        </w:rPr>
        <w:t xml:space="preserve"> </w:t>
      </w:r>
    </w:p>
    <w:p w:rsidR="00FA7413" w:rsidRDefault="00D712A8">
      <w:pPr>
        <w:spacing w:after="98"/>
        <w:ind w:left="360"/>
      </w:pPr>
      <w:r>
        <w:rPr>
          <w:rFonts w:ascii="Arial" w:eastAsia="Arial" w:hAnsi="Arial" w:cs="Arial"/>
          <w:i/>
        </w:rPr>
        <w:t xml:space="preserve"> </w:t>
      </w:r>
    </w:p>
    <w:p w:rsidR="00FA7413" w:rsidRDefault="00D712A8">
      <w:pPr>
        <w:spacing w:after="172" w:line="247" w:lineRule="auto"/>
        <w:ind w:left="1426" w:right="62" w:hanging="360"/>
        <w:jc w:val="both"/>
      </w:pPr>
      <w:r>
        <w:rPr>
          <w:rFonts w:ascii="Arial" w:eastAsia="Arial" w:hAnsi="Arial" w:cs="Arial"/>
          <w:i/>
        </w:rPr>
        <w:t>B) Art. 32.4-</w:t>
      </w:r>
      <w:r>
        <w:rPr>
          <w:rFonts w:ascii="Arial" w:eastAsia="Arial" w:hAnsi="Arial" w:cs="Arial"/>
          <w:i/>
        </w:rPr>
        <w:t xml:space="preserve">Encargos de los poderes adjudicadores a medios propios personificados, que dice: </w:t>
      </w:r>
    </w:p>
    <w:p w:rsidR="00FA7413" w:rsidRDefault="00D712A8">
      <w:pPr>
        <w:spacing w:after="334" w:line="247" w:lineRule="auto"/>
        <w:ind w:left="345" w:right="62" w:firstLine="360"/>
        <w:jc w:val="both"/>
      </w:pPr>
      <w:r>
        <w:rPr>
          <w:rFonts w:ascii="Arial" w:eastAsia="Arial" w:hAnsi="Arial" w:cs="Arial"/>
          <w:i/>
        </w:rPr>
        <w:t>“Tendrán la consideración de medio propio personificado respecto de dos o más poderes adjudicadores que sean independientes entre sí aquellas personas jurídicas, de derecho p</w:t>
      </w:r>
      <w:r>
        <w:rPr>
          <w:rFonts w:ascii="Arial" w:eastAsia="Arial" w:hAnsi="Arial" w:cs="Arial"/>
          <w:i/>
        </w:rPr>
        <w:t>úblico o de derecho privado, que cumplan todos y cada uno de los requisitos que se establecen a continuación:</w:t>
      </w:r>
      <w:r>
        <w:rPr>
          <w:rFonts w:ascii="Times New Roman" w:eastAsia="Times New Roman" w:hAnsi="Times New Roman" w:cs="Times New Roman"/>
          <w:sz w:val="24"/>
        </w:rPr>
        <w:t xml:space="preserve"> </w:t>
      </w:r>
    </w:p>
    <w:p w:rsidR="00FA7413" w:rsidRDefault="00D712A8">
      <w:pPr>
        <w:spacing w:after="12" w:line="249" w:lineRule="auto"/>
        <w:ind w:left="10" w:right="61" w:hanging="10"/>
        <w:jc w:val="right"/>
      </w:pPr>
      <w:r>
        <w:rPr>
          <w:rFonts w:ascii="Arial" w:eastAsia="Arial" w:hAnsi="Arial" w:cs="Arial"/>
          <w:i/>
        </w:rPr>
        <w:t>a) Que los poderes adjudicadores que puedan conferirle encargos ejerzan sobre el ente desti-</w:t>
      </w:r>
    </w:p>
    <w:p w:rsidR="00FA7413" w:rsidRDefault="00D712A8">
      <w:pPr>
        <w:spacing w:after="174" w:line="247" w:lineRule="auto"/>
        <w:ind w:left="355" w:right="62" w:hanging="10"/>
        <w:jc w:val="both"/>
      </w:pPr>
      <w:r>
        <w:rPr>
          <w:rFonts w:ascii="Arial" w:eastAsia="Arial" w:hAnsi="Arial" w:cs="Arial"/>
          <w:i/>
        </w:rPr>
        <w:t>natario del mismo un control conjunto análogo al que</w:t>
      </w:r>
      <w:r>
        <w:rPr>
          <w:rFonts w:ascii="Arial" w:eastAsia="Arial" w:hAnsi="Arial" w:cs="Arial"/>
          <w:i/>
        </w:rPr>
        <w:t xml:space="preserve"> ostentarían sobre sus propios servicios o unidades. </w:t>
      </w:r>
    </w:p>
    <w:p w:rsidR="00FA7413" w:rsidRDefault="00D712A8">
      <w:pPr>
        <w:spacing w:after="347" w:line="249" w:lineRule="auto"/>
        <w:ind w:left="10" w:right="61" w:hanging="10"/>
        <w:jc w:val="right"/>
      </w:pPr>
      <w:r>
        <w:rPr>
          <w:rFonts w:ascii="Arial" w:eastAsia="Arial" w:hAnsi="Arial" w:cs="Arial"/>
          <w:i/>
        </w:rPr>
        <w:t xml:space="preserve">Se entenderá que existe control conjunto cuando se cumplan todas las condiciones siguientes: </w:t>
      </w:r>
    </w:p>
    <w:p w:rsidR="00FA7413" w:rsidRDefault="00D712A8">
      <w:pPr>
        <w:spacing w:after="172" w:line="247" w:lineRule="auto"/>
        <w:ind w:left="345" w:right="62" w:firstLine="360"/>
        <w:jc w:val="both"/>
      </w:pPr>
      <w:r>
        <w:rPr>
          <w:rFonts w:ascii="Arial" w:eastAsia="Arial" w:hAnsi="Arial" w:cs="Arial"/>
          <w:i/>
        </w:rPr>
        <w:t xml:space="preserve">1.º Que en los órganos decisorios del ente destinatario del encargo estén representados todos los entes que </w:t>
      </w:r>
      <w:r>
        <w:rPr>
          <w:rFonts w:ascii="Arial" w:eastAsia="Arial" w:hAnsi="Arial" w:cs="Arial"/>
          <w:i/>
        </w:rPr>
        <w:t xml:space="preserve">puedan conferirle encargos, pudiendo cada representante representar a varios de estos últimos o a la totalidad de ellos. </w:t>
      </w:r>
    </w:p>
    <w:p w:rsidR="00FA7413" w:rsidRDefault="00D712A8">
      <w:pPr>
        <w:spacing w:after="112" w:line="247" w:lineRule="auto"/>
        <w:ind w:left="345" w:right="62" w:firstLine="360"/>
        <w:jc w:val="both"/>
      </w:pPr>
      <w:r>
        <w:rPr>
          <w:rFonts w:ascii="Arial" w:eastAsia="Arial" w:hAnsi="Arial" w:cs="Arial"/>
          <w:i/>
        </w:rPr>
        <w:t>2.º Que estos últimos puedan ejercer directa y conjuntamente una influencia decisiva sobre los objetivos estratégicos y sobre las deci</w:t>
      </w:r>
      <w:r>
        <w:rPr>
          <w:rFonts w:ascii="Arial" w:eastAsia="Arial" w:hAnsi="Arial" w:cs="Arial"/>
          <w:i/>
        </w:rPr>
        <w:t xml:space="preserve">siones significativas del ente destinatario del encargo. </w:t>
      </w:r>
    </w:p>
    <w:p w:rsidR="00FA7413" w:rsidRDefault="00D712A8">
      <w:pPr>
        <w:spacing w:after="351" w:line="247" w:lineRule="auto"/>
        <w:ind w:left="345" w:right="62" w:firstLine="360"/>
        <w:jc w:val="both"/>
      </w:pPr>
      <w:r>
        <w:rPr>
          <w:rFonts w:ascii="Arial" w:eastAsia="Arial" w:hAnsi="Arial" w:cs="Arial"/>
          <w:i/>
        </w:rPr>
        <w:t xml:space="preserve">3.º Que el ente destinatario del encargo no persiga intereses contrarios a los intereses de los entes que puedan conferirle encargos. </w:t>
      </w:r>
    </w:p>
    <w:p w:rsidR="00FA7413" w:rsidRDefault="00D712A8">
      <w:pPr>
        <w:spacing w:after="174" w:line="247" w:lineRule="auto"/>
        <w:ind w:left="345" w:right="62" w:firstLine="360"/>
        <w:jc w:val="both"/>
      </w:pPr>
      <w:r>
        <w:rPr>
          <w:rFonts w:ascii="Arial" w:eastAsia="Arial" w:hAnsi="Arial" w:cs="Arial"/>
          <w:i/>
        </w:rPr>
        <w:t>La compensación se establecerá, por referencia a tarifas aprobadas por la entidad pública de la que depende el medio propio personificado para las actividades objeto de encargo realizadas por el medio propio directamente y, en la forma que reglamentariamen</w:t>
      </w:r>
      <w:r>
        <w:rPr>
          <w:rFonts w:ascii="Arial" w:eastAsia="Arial" w:hAnsi="Arial" w:cs="Arial"/>
          <w:i/>
        </w:rPr>
        <w:t>te se determine, atendiendo al coste efectivo soportado por el medio propio para las actividades objeto del encargo que se subcontraten con empresarios particulares en los casos en que este coste sea inferior al resultante de aplicar las tarifas a las acti</w:t>
      </w:r>
      <w:r>
        <w:rPr>
          <w:rFonts w:ascii="Arial" w:eastAsia="Arial" w:hAnsi="Arial" w:cs="Arial"/>
          <w:i/>
        </w:rPr>
        <w:t xml:space="preserve">vidades subcontratadas. </w:t>
      </w:r>
    </w:p>
    <w:p w:rsidR="00FA7413" w:rsidRDefault="00D712A8">
      <w:pPr>
        <w:spacing w:after="172" w:line="247" w:lineRule="auto"/>
        <w:ind w:left="345" w:right="62" w:firstLine="360"/>
        <w:jc w:val="both"/>
      </w:pPr>
      <w:r>
        <w:rPr>
          <w:rFonts w:ascii="Arial" w:eastAsia="Arial" w:hAnsi="Arial" w:cs="Arial"/>
          <w:i/>
        </w:rPr>
        <w:t xml:space="preserve">Dichas tarifas se calcularán de manera que representen los costes reales de realización de las unidades producidas directamente por el medio propio. </w:t>
      </w:r>
    </w:p>
    <w:p w:rsidR="00FA7413" w:rsidRDefault="00D712A8">
      <w:pPr>
        <w:numPr>
          <w:ilvl w:val="0"/>
          <w:numId w:val="33"/>
        </w:numPr>
        <w:spacing w:after="177" w:line="247" w:lineRule="auto"/>
        <w:ind w:right="62" w:firstLine="360"/>
        <w:jc w:val="both"/>
      </w:pPr>
      <w:r>
        <w:rPr>
          <w:rFonts w:ascii="Arial" w:eastAsia="Arial" w:hAnsi="Arial" w:cs="Arial"/>
          <w:i/>
        </w:rPr>
        <w:t>Que más del 80 por ciento de las actividades del ente destinatario del encargo se</w:t>
      </w:r>
      <w:r>
        <w:rPr>
          <w:rFonts w:ascii="Arial" w:eastAsia="Arial" w:hAnsi="Arial" w:cs="Arial"/>
          <w:i/>
        </w:rPr>
        <w:t xml:space="preserve"> lleven a cabo en el ejercicio de los cometidos que le han sido confiados por los poderes adjudicadores que lo controlan o por otras personas jurídicas controladas por los mismos poderes adjudicadores. El cálculo del 80 por ciento se hará de acuerdo con lo</w:t>
      </w:r>
      <w:r>
        <w:rPr>
          <w:rFonts w:ascii="Arial" w:eastAsia="Arial" w:hAnsi="Arial" w:cs="Arial"/>
          <w:i/>
        </w:rPr>
        <w:t xml:space="preserve"> establecido en la letra b) del apartado 2 de este artículo. </w:t>
      </w:r>
    </w:p>
    <w:p w:rsidR="00FA7413" w:rsidRDefault="00D712A8">
      <w:pPr>
        <w:numPr>
          <w:ilvl w:val="0"/>
          <w:numId w:val="33"/>
        </w:numPr>
        <w:spacing w:after="350" w:line="247" w:lineRule="auto"/>
        <w:ind w:right="62" w:firstLine="360"/>
        <w:jc w:val="both"/>
      </w:pPr>
      <w:r>
        <w:rPr>
          <w:rFonts w:ascii="Arial" w:eastAsia="Arial" w:hAnsi="Arial" w:cs="Arial"/>
          <w:i/>
        </w:rPr>
        <w:t xml:space="preserve">Que cumplan los requisitos que establece este artículo en su apartado 2 letras c) y d).” </w:t>
      </w:r>
    </w:p>
    <w:p w:rsidR="00FA7413" w:rsidRDefault="00D712A8">
      <w:pPr>
        <w:spacing w:after="354" w:line="248" w:lineRule="auto"/>
        <w:ind w:left="355" w:right="62" w:hanging="10"/>
        <w:jc w:val="both"/>
      </w:pPr>
      <w:r>
        <w:rPr>
          <w:noProof/>
        </w:rPr>
        <mc:AlternateContent>
          <mc:Choice Requires="wpg">
            <w:drawing>
              <wp:anchor distT="0" distB="0" distL="114300" distR="114300" simplePos="0" relativeHeight="251788288"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8393" name="Group 218393"/>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4837" name="Rectangle 14837"/>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4838" name="Rectangle 14838"/>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D</w:t>
                              </w:r>
                              <w:r>
                                <w:rPr>
                                  <w:rFonts w:ascii="Arial" w:eastAsia="Arial" w:hAnsi="Arial" w:cs="Arial"/>
                                  <w:sz w:val="12"/>
                                </w:rPr>
                                <w:t xml:space="preserve">ocumento firmado electrónicamente desde la plataforma esPublico Gestiona | Página 126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8393" style="width:12.7031pt;height:275.586pt;position:absolute;mso-position-horizontal-relative:page;mso-position-horizontal:absolute;margin-left:682.278pt;mso-position-vertical-relative:page;margin-top:536.334pt;" coordsize="1613,34999">
                <v:rect id="Rectangle 14837"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4838"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126 de 180 </w:t>
                        </w:r>
                      </w:p>
                    </w:txbxContent>
                  </v:textbox>
                </v:rect>
                <w10:wrap type="square"/>
              </v:group>
            </w:pict>
          </mc:Fallback>
        </mc:AlternateContent>
      </w:r>
      <w:r>
        <w:rPr>
          <w:rFonts w:ascii="Arial" w:eastAsia="Arial" w:hAnsi="Arial" w:cs="Arial"/>
          <w:b/>
        </w:rPr>
        <w:t xml:space="preserve">B) Art. 32- Encargos de los poderes adjudicadores a medios propios personificados- apartado 2, letras c) y d). </w:t>
      </w:r>
    </w:p>
    <w:p w:rsidR="00FA7413" w:rsidRDefault="00D712A8">
      <w:pPr>
        <w:spacing w:after="155" w:line="248" w:lineRule="auto"/>
        <w:ind w:left="355" w:right="62" w:hanging="10"/>
        <w:jc w:val="both"/>
      </w:pPr>
      <w:r>
        <w:rPr>
          <w:rFonts w:ascii="Arial" w:eastAsia="Arial" w:hAnsi="Arial" w:cs="Arial"/>
          <w:b/>
        </w:rPr>
        <w:t xml:space="preserve"> “2. Tendrán la consideración de medio propio pers</w:t>
      </w:r>
      <w:r>
        <w:rPr>
          <w:rFonts w:ascii="Arial" w:eastAsia="Arial" w:hAnsi="Arial" w:cs="Arial"/>
          <w:b/>
        </w:rPr>
        <w:t>onificado respecto de una única entidad concreta del sector público aquellas personas jurídicas, de derecho público o de derecho privado, que cumplan todos y cada uno de los requisitos que se establecen a continuación:</w:t>
      </w:r>
      <w:r>
        <w:rPr>
          <w:color w:val="2E74B5"/>
          <w:sz w:val="24"/>
        </w:rPr>
        <w:t xml:space="preserve"> </w:t>
      </w:r>
    </w:p>
    <w:p w:rsidR="00FA7413" w:rsidRDefault="00D712A8">
      <w:pPr>
        <w:numPr>
          <w:ilvl w:val="0"/>
          <w:numId w:val="34"/>
        </w:numPr>
        <w:spacing w:after="12" w:line="249" w:lineRule="auto"/>
        <w:ind w:right="61" w:firstLine="360"/>
        <w:jc w:val="both"/>
      </w:pPr>
      <w:r>
        <w:rPr>
          <w:rFonts w:ascii="Arial" w:eastAsia="Arial" w:hAnsi="Arial" w:cs="Arial"/>
          <w:i/>
        </w:rPr>
        <w:t xml:space="preserve">Cuando el ente destinatario del encargo sea un ente de personificación jurídico-privada, </w:t>
      </w:r>
    </w:p>
    <w:p w:rsidR="00FA7413" w:rsidRDefault="00D712A8">
      <w:pPr>
        <w:spacing w:after="149" w:line="247" w:lineRule="auto"/>
        <w:ind w:left="355" w:right="62" w:hanging="10"/>
        <w:jc w:val="both"/>
      </w:pPr>
      <w:r>
        <w:rPr>
          <w:rFonts w:ascii="Arial" w:eastAsia="Arial" w:hAnsi="Arial" w:cs="Arial"/>
          <w:i/>
        </w:rPr>
        <w:t>además, la totalidad de su capital o patrimonio tendrá que ser de titularidad o aportación pública.</w:t>
      </w:r>
      <w:r>
        <w:rPr>
          <w:rFonts w:ascii="Times New Roman" w:eastAsia="Times New Roman" w:hAnsi="Times New Roman" w:cs="Times New Roman"/>
          <w:sz w:val="24"/>
        </w:rPr>
        <w:t xml:space="preserve"> </w:t>
      </w:r>
    </w:p>
    <w:p w:rsidR="00FA7413" w:rsidRDefault="00D712A8">
      <w:pPr>
        <w:numPr>
          <w:ilvl w:val="0"/>
          <w:numId w:val="34"/>
        </w:numPr>
        <w:spacing w:after="352" w:line="247" w:lineRule="auto"/>
        <w:ind w:right="61" w:firstLine="360"/>
        <w:jc w:val="both"/>
      </w:pPr>
      <w:r>
        <w:rPr>
          <w:rFonts w:ascii="Arial" w:eastAsia="Arial" w:hAnsi="Arial" w:cs="Arial"/>
          <w:i/>
        </w:rPr>
        <w:t>La condición de medio propio personificado de la entidad destinat</w:t>
      </w:r>
      <w:r>
        <w:rPr>
          <w:rFonts w:ascii="Arial" w:eastAsia="Arial" w:hAnsi="Arial" w:cs="Arial"/>
          <w:i/>
        </w:rPr>
        <w:t xml:space="preserve">aria del encargo respecto del concreto poder adjudicador que hace el encargo deberá reconocerse expresamente en sus estatutos o actos de creación, previo cumplimiento de los siguientes requisitos: </w:t>
      </w:r>
    </w:p>
    <w:p w:rsidR="00FA7413" w:rsidRDefault="00D712A8">
      <w:pPr>
        <w:spacing w:after="171" w:line="247" w:lineRule="auto"/>
        <w:ind w:left="345" w:right="62" w:firstLine="360"/>
        <w:jc w:val="both"/>
      </w:pPr>
      <w:r>
        <w:rPr>
          <w:rFonts w:ascii="Arial" w:eastAsia="Arial" w:hAnsi="Arial" w:cs="Arial"/>
          <w:i/>
        </w:rPr>
        <w:t>1.º Conformidad o autorización expresa del poder adjudicad</w:t>
      </w:r>
      <w:r>
        <w:rPr>
          <w:rFonts w:ascii="Arial" w:eastAsia="Arial" w:hAnsi="Arial" w:cs="Arial"/>
          <w:i/>
        </w:rPr>
        <w:t xml:space="preserve">or respecto del que vaya a ser medio propio. </w:t>
      </w:r>
    </w:p>
    <w:p w:rsidR="00FA7413" w:rsidRDefault="00D712A8">
      <w:pPr>
        <w:spacing w:after="358" w:line="241" w:lineRule="auto"/>
        <w:ind w:left="345" w:firstLine="360"/>
      </w:pPr>
      <w:r>
        <w:rPr>
          <w:rFonts w:ascii="Arial" w:eastAsia="Arial" w:hAnsi="Arial" w:cs="Arial"/>
          <w:i/>
        </w:rPr>
        <w:t xml:space="preserve">2.º Verificación por la entidad pública de que dependa el ente que vaya a ser medio propio, de que cuenta con medios personales y materiales apropiados para la realización de los encargos de conformidad con su </w:t>
      </w:r>
      <w:r>
        <w:rPr>
          <w:rFonts w:ascii="Arial" w:eastAsia="Arial" w:hAnsi="Arial" w:cs="Arial"/>
          <w:i/>
        </w:rPr>
        <w:t xml:space="preserve">objeto social. </w:t>
      </w:r>
    </w:p>
    <w:p w:rsidR="00FA7413" w:rsidRDefault="00D712A8">
      <w:pPr>
        <w:spacing w:after="171" w:line="247" w:lineRule="auto"/>
        <w:ind w:left="345" w:right="62" w:firstLine="360"/>
        <w:jc w:val="both"/>
      </w:pPr>
      <w:r>
        <w:rPr>
          <w:rFonts w:ascii="Arial" w:eastAsia="Arial" w:hAnsi="Arial" w:cs="Arial"/>
          <w:i/>
        </w:rPr>
        <w:t>Los estatutos o acto de creación del ente destinatario del encargo deberá determinar: el poder adjudicador respecto del cual tiene esa condición; precisar el régimen jurídico y administrativo de los encargos que se les puedan conferir; y es</w:t>
      </w:r>
      <w:r>
        <w:rPr>
          <w:rFonts w:ascii="Arial" w:eastAsia="Arial" w:hAnsi="Arial" w:cs="Arial"/>
          <w:i/>
        </w:rPr>
        <w:t>tablecer la imposibilidad de que participen en licitaciones públicas convocadas por el poder adjudicador del que sean medio propio personificado, sin perjuicio de que, cuando no concurra ningún licitador, pueda encargárseles la ejecución de la prestación o</w:t>
      </w:r>
      <w:r>
        <w:rPr>
          <w:rFonts w:ascii="Arial" w:eastAsia="Arial" w:hAnsi="Arial" w:cs="Arial"/>
          <w:i/>
        </w:rPr>
        <w:t xml:space="preserve">bjeto de las mismas. </w:t>
      </w:r>
    </w:p>
    <w:p w:rsidR="00FA7413" w:rsidRDefault="00D712A8">
      <w:pPr>
        <w:spacing w:after="169" w:line="247" w:lineRule="auto"/>
        <w:ind w:left="345" w:right="62" w:firstLine="360"/>
        <w:jc w:val="both"/>
      </w:pPr>
      <w:r>
        <w:rPr>
          <w:rFonts w:ascii="Arial" w:eastAsia="Arial" w:hAnsi="Arial" w:cs="Arial"/>
          <w:i/>
        </w:rPr>
        <w:t xml:space="preserve">En todo caso, se presumirá que cumple el requisito establecido en el número 2.º de la presente letra cuando haya obtenido la correspondiente clasificación respecto a los grupos, subgrupos y categorías que ostente.” </w:t>
      </w:r>
    </w:p>
    <w:p w:rsidR="00FA7413" w:rsidRDefault="00D712A8">
      <w:pPr>
        <w:spacing w:after="161"/>
        <w:ind w:left="1013" w:right="360" w:hanging="10"/>
        <w:jc w:val="center"/>
      </w:pPr>
      <w:r>
        <w:rPr>
          <w:rFonts w:ascii="Arial" w:eastAsia="Arial" w:hAnsi="Arial" w:cs="Arial"/>
          <w:i/>
        </w:rPr>
        <w:t xml:space="preserve">TERCERO </w:t>
      </w:r>
    </w:p>
    <w:p w:rsidR="00FA7413" w:rsidRDefault="00D712A8">
      <w:pPr>
        <w:pBdr>
          <w:bottom w:val="single" w:sz="6" w:space="0" w:color="CCCCCC"/>
        </w:pBdr>
        <w:shd w:val="clear" w:color="auto" w:fill="F9F9F9"/>
        <w:tabs>
          <w:tab w:val="center" w:pos="4572"/>
        </w:tabs>
        <w:spacing w:after="229" w:line="216" w:lineRule="auto"/>
        <w:ind w:left="345" w:right="58"/>
        <w:jc w:val="both"/>
      </w:pPr>
      <w:r>
        <w:rPr>
          <w:rFonts w:ascii="Arial" w:eastAsia="Arial" w:hAnsi="Arial" w:cs="Arial"/>
          <w:i/>
        </w:rPr>
        <w:t xml:space="preserve"> </w:t>
      </w:r>
      <w:r>
        <w:rPr>
          <w:rFonts w:ascii="Arial" w:eastAsia="Arial" w:hAnsi="Arial" w:cs="Arial"/>
          <w:i/>
        </w:rPr>
        <w:tab/>
        <w:t xml:space="preserve"> </w:t>
      </w:r>
      <w:r>
        <w:rPr>
          <w:rFonts w:ascii="Arial" w:eastAsia="Arial" w:hAnsi="Arial" w:cs="Arial"/>
          <w:i/>
        </w:rPr>
        <w:t xml:space="preserve">Ley 7/1985, de 2 de abril, Reguladora de las Bases del Régimen Local. </w:t>
      </w:r>
      <w:r>
        <w:rPr>
          <w:sz w:val="26"/>
        </w:rPr>
        <w:t xml:space="preserve"> </w:t>
      </w:r>
    </w:p>
    <w:p w:rsidR="00FA7413" w:rsidRDefault="00D712A8">
      <w:pPr>
        <w:spacing w:after="0"/>
        <w:ind w:left="1068"/>
      </w:pPr>
      <w:r>
        <w:rPr>
          <w:rFonts w:ascii="Arial" w:eastAsia="Arial" w:hAnsi="Arial" w:cs="Arial"/>
          <w:i/>
        </w:rPr>
        <w:t xml:space="preserve"> </w:t>
      </w:r>
    </w:p>
    <w:p w:rsidR="00FA7413" w:rsidRDefault="00D712A8">
      <w:pPr>
        <w:spacing w:after="354" w:line="247" w:lineRule="auto"/>
        <w:ind w:left="345" w:right="62" w:firstLine="708"/>
        <w:jc w:val="both"/>
      </w:pPr>
      <w:r>
        <w:rPr>
          <w:rFonts w:ascii="Arial" w:eastAsia="Arial" w:hAnsi="Arial" w:cs="Arial"/>
          <w:i/>
        </w:rPr>
        <w:t xml:space="preserve">Son de aplicación los dos artículos siguientes en cuanto a la competencia del órgano municipal para la aprobación del presente expediente.     </w:t>
      </w:r>
    </w:p>
    <w:p w:rsidR="00FA7413" w:rsidRDefault="00D712A8">
      <w:pPr>
        <w:spacing w:after="169" w:line="247" w:lineRule="auto"/>
        <w:ind w:left="355" w:right="62" w:hanging="10"/>
        <w:jc w:val="both"/>
      </w:pPr>
      <w:r>
        <w:rPr>
          <w:rFonts w:ascii="Arial" w:eastAsia="Arial" w:hAnsi="Arial" w:cs="Arial"/>
          <w:i/>
        </w:rPr>
        <w:t xml:space="preserve">Artículo 47.2.H) </w:t>
      </w:r>
    </w:p>
    <w:p w:rsidR="00FA7413" w:rsidRDefault="00D712A8">
      <w:pPr>
        <w:spacing w:after="174" w:line="247" w:lineRule="auto"/>
        <w:ind w:left="345" w:right="62" w:firstLine="360"/>
        <w:jc w:val="both"/>
      </w:pPr>
      <w:r>
        <w:rPr>
          <w:rFonts w:ascii="Arial" w:eastAsia="Arial" w:hAnsi="Arial" w:cs="Arial"/>
          <w:i/>
        </w:rPr>
        <w:t xml:space="preserve">“ 2. Se requiere el voto favorable de la mayoría absoluta del número legal de miembros de las corporaciones para la adopción de acuerdos en las siguientes materias: </w:t>
      </w:r>
    </w:p>
    <w:p w:rsidR="00FA7413" w:rsidRDefault="00D712A8">
      <w:pPr>
        <w:spacing w:after="349" w:line="247" w:lineRule="auto"/>
        <w:ind w:left="345" w:right="62" w:firstLine="360"/>
        <w:jc w:val="both"/>
      </w:pPr>
      <w:r>
        <w:rPr>
          <w:rFonts w:ascii="Arial" w:eastAsia="Arial" w:hAnsi="Arial" w:cs="Arial"/>
          <w:i/>
        </w:rPr>
        <w:t>h) Transferencia de funciones o actividades a otras Administraciones públicas, así como la</w:t>
      </w:r>
      <w:r>
        <w:rPr>
          <w:rFonts w:ascii="Arial" w:eastAsia="Arial" w:hAnsi="Arial" w:cs="Arial"/>
          <w:i/>
        </w:rPr>
        <w:t xml:space="preserve"> aceptación de las delegaciones o encomiendas de gestión realizadas por otras administraciones, salvo que por ley se impongan obligatoriamente. </w:t>
      </w:r>
    </w:p>
    <w:p w:rsidR="00FA7413" w:rsidRDefault="00D712A8">
      <w:pPr>
        <w:spacing w:after="171" w:line="248" w:lineRule="auto"/>
        <w:ind w:left="355" w:right="62" w:hanging="10"/>
        <w:jc w:val="both"/>
      </w:pPr>
      <w:r>
        <w:rPr>
          <w:noProof/>
        </w:rPr>
        <mc:AlternateContent>
          <mc:Choice Requires="wpg">
            <w:drawing>
              <wp:anchor distT="0" distB="0" distL="114300" distR="114300" simplePos="0" relativeHeight="251789312"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8643" name="Group 218643"/>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4932" name="Rectangle 14932"/>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4933" name="Rectangle 14933"/>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127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8643" style="width:12.7031pt;height:275.586pt;position:absolute;mso-position-horizontal-relative:page;mso-position-horizontal:absolute;margin-left:682.278pt;mso-position-vertical-relative:page;margin-top:536.334pt;" coordsize="1613,34999">
                <v:rect id="Rectangle 14932"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4933"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127 de 180 </w:t>
                        </w:r>
                      </w:p>
                    </w:txbxContent>
                  </v:textbox>
                </v:rect>
                <w10:wrap type="square"/>
              </v:group>
            </w:pict>
          </mc:Fallback>
        </mc:AlternateContent>
      </w:r>
      <w:r>
        <w:rPr>
          <w:rFonts w:ascii="Arial" w:eastAsia="Arial" w:hAnsi="Arial" w:cs="Arial"/>
          <w:b/>
        </w:rPr>
        <w:t xml:space="preserve">Artículo 22.2.p) y 4. </w:t>
      </w:r>
    </w:p>
    <w:p w:rsidR="00FA7413" w:rsidRDefault="00D712A8">
      <w:pPr>
        <w:spacing w:after="171" w:line="247" w:lineRule="auto"/>
        <w:ind w:left="345" w:right="62" w:firstLine="360"/>
        <w:jc w:val="both"/>
      </w:pPr>
      <w:r>
        <w:rPr>
          <w:rFonts w:ascii="Arial" w:eastAsia="Arial" w:hAnsi="Arial" w:cs="Arial"/>
          <w:i/>
        </w:rPr>
        <w:t>“ 2. Corresponden, en todo caso, al Pleno municipal en los Ayuntamientos, y a la Asamblea vecinal en el régimen de Concejo Abierto, las si</w:t>
      </w:r>
      <w:r>
        <w:rPr>
          <w:rFonts w:ascii="Arial" w:eastAsia="Arial" w:hAnsi="Arial" w:cs="Arial"/>
          <w:i/>
        </w:rPr>
        <w:t xml:space="preserve">guientes atribuciones: </w:t>
      </w:r>
    </w:p>
    <w:p w:rsidR="00FA7413" w:rsidRDefault="00D712A8">
      <w:pPr>
        <w:ind w:left="720"/>
      </w:pPr>
      <w:r>
        <w:rPr>
          <w:rFonts w:ascii="Arial" w:eastAsia="Arial" w:hAnsi="Arial" w:cs="Arial"/>
          <w:i/>
        </w:rPr>
        <w:t xml:space="preserve"> </w:t>
      </w:r>
    </w:p>
    <w:p w:rsidR="00FA7413" w:rsidRDefault="00D712A8">
      <w:pPr>
        <w:spacing w:after="158"/>
        <w:ind w:left="720"/>
      </w:pPr>
      <w:r>
        <w:rPr>
          <w:rFonts w:ascii="Arial" w:eastAsia="Arial" w:hAnsi="Arial" w:cs="Arial"/>
          <w:i/>
        </w:rPr>
        <w:t xml:space="preserve"> </w:t>
      </w:r>
    </w:p>
    <w:p w:rsidR="00FA7413" w:rsidRDefault="00D712A8">
      <w:pPr>
        <w:spacing w:after="175" w:line="247" w:lineRule="auto"/>
        <w:ind w:left="345" w:right="62" w:firstLine="360"/>
        <w:jc w:val="both"/>
      </w:pPr>
      <w:r>
        <w:rPr>
          <w:rFonts w:ascii="Arial" w:eastAsia="Arial" w:hAnsi="Arial" w:cs="Arial"/>
          <w:i/>
        </w:rPr>
        <w:t xml:space="preserve">p) Aquellas otras que deban corresponder al Pleno por exigir su aprobación una mayoría especial. </w:t>
      </w:r>
    </w:p>
    <w:p w:rsidR="00FA7413" w:rsidRDefault="00D712A8">
      <w:pPr>
        <w:spacing w:after="169" w:line="247" w:lineRule="auto"/>
        <w:ind w:left="345" w:right="62" w:firstLine="360"/>
        <w:jc w:val="both"/>
      </w:pPr>
      <w:r>
        <w:rPr>
          <w:rFonts w:ascii="Arial" w:eastAsia="Arial" w:hAnsi="Arial" w:cs="Arial"/>
          <w:i/>
        </w:rPr>
        <w:t xml:space="preserve">4. El Pleno puede delegar el ejercicio de sus atribuciones en el Alcalde y en la Junta de Gobierno Local, salvo las enunciadas en </w:t>
      </w:r>
      <w:r>
        <w:rPr>
          <w:rFonts w:ascii="Arial" w:eastAsia="Arial" w:hAnsi="Arial" w:cs="Arial"/>
          <w:i/>
        </w:rPr>
        <w:t xml:space="preserve">el apartado 2, párrafos a), b), c), d), e), f), g), h), i), l) y p), y en el apartado 3 de este artículo.” </w:t>
      </w:r>
    </w:p>
    <w:p w:rsidR="00FA7413" w:rsidRDefault="00D712A8">
      <w:pPr>
        <w:spacing w:after="100"/>
        <w:ind w:left="1426"/>
      </w:pPr>
      <w:r>
        <w:rPr>
          <w:rFonts w:ascii="Arial" w:eastAsia="Arial" w:hAnsi="Arial" w:cs="Arial"/>
          <w:i/>
        </w:rPr>
        <w:t xml:space="preserve">   </w:t>
      </w:r>
    </w:p>
    <w:p w:rsidR="00FA7413" w:rsidRDefault="00D712A8">
      <w:pPr>
        <w:spacing w:after="112" w:line="247" w:lineRule="auto"/>
        <w:ind w:left="345" w:right="62" w:firstLine="708"/>
        <w:jc w:val="both"/>
      </w:pPr>
      <w:r>
        <w:rPr>
          <w:rFonts w:ascii="Arial" w:eastAsia="Arial" w:hAnsi="Arial" w:cs="Arial"/>
          <w:i/>
        </w:rPr>
        <w:t xml:space="preserve">En base a los antecedentes de hecho y fundamentos de Derecho expuestos, se emite la siguiente, </w:t>
      </w:r>
    </w:p>
    <w:p w:rsidR="00FA7413" w:rsidRDefault="00D712A8">
      <w:pPr>
        <w:spacing w:after="100"/>
        <w:ind w:left="1068"/>
      </w:pPr>
      <w:r>
        <w:rPr>
          <w:rFonts w:ascii="Arial" w:eastAsia="Arial" w:hAnsi="Arial" w:cs="Arial"/>
          <w:i/>
        </w:rPr>
        <w:t xml:space="preserve"> </w:t>
      </w:r>
    </w:p>
    <w:p w:rsidR="00FA7413" w:rsidRDefault="00D712A8">
      <w:pPr>
        <w:spacing w:after="98"/>
        <w:ind w:left="1013" w:right="10" w:hanging="10"/>
        <w:jc w:val="center"/>
      </w:pPr>
      <w:r>
        <w:rPr>
          <w:rFonts w:ascii="Arial" w:eastAsia="Arial" w:hAnsi="Arial" w:cs="Arial"/>
          <w:i/>
        </w:rPr>
        <w:t xml:space="preserve">PROPUESTA DE RESOLUCIÓN: </w:t>
      </w:r>
    </w:p>
    <w:p w:rsidR="00FA7413" w:rsidRDefault="00D712A8">
      <w:pPr>
        <w:spacing w:after="0" w:line="247" w:lineRule="auto"/>
        <w:ind w:left="345" w:right="62" w:firstLine="708"/>
        <w:jc w:val="both"/>
      </w:pPr>
      <w:r>
        <w:rPr>
          <w:rFonts w:ascii="Arial" w:eastAsia="Arial" w:hAnsi="Arial" w:cs="Arial"/>
          <w:i/>
        </w:rPr>
        <w:t xml:space="preserve">1º.- </w:t>
      </w:r>
      <w:r>
        <w:rPr>
          <w:rFonts w:ascii="Arial" w:eastAsia="Arial" w:hAnsi="Arial" w:cs="Arial"/>
          <w:i/>
        </w:rPr>
        <w:t>Otorgar la conformidad expresa de esta Corporación a la declaración de la entidad “GESTUR CANARIAS, SA”, adscrita a la Consejería de Transición Ecológica, Lucha contra el Cambio Climático y Planificación Territorial del Gobierno de Canarias, como medio per</w:t>
      </w:r>
      <w:r>
        <w:rPr>
          <w:rFonts w:ascii="Arial" w:eastAsia="Arial" w:hAnsi="Arial" w:cs="Arial"/>
          <w:i/>
        </w:rPr>
        <w:t xml:space="preserve">sonificado del mismo, a los efectos dispuestos en el artículo 32.2 de la Ley 4/2012, de 25 de junio, de medidas administrativas y fiscales, en relación con el art. 32.4 de la LCSP.      </w:t>
      </w:r>
      <w:r>
        <w:rPr>
          <w:rFonts w:ascii="Times New Roman" w:eastAsia="Times New Roman" w:hAnsi="Times New Roman" w:cs="Times New Roman"/>
          <w:sz w:val="24"/>
        </w:rPr>
        <w:t xml:space="preserve"> </w: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spacing w:after="0" w:line="247" w:lineRule="auto"/>
        <w:ind w:left="345" w:right="62" w:firstLine="708"/>
        <w:jc w:val="both"/>
      </w:pPr>
      <w:r>
        <w:rPr>
          <w:rFonts w:ascii="Arial" w:eastAsia="Arial" w:hAnsi="Arial" w:cs="Arial"/>
          <w:i/>
        </w:rPr>
        <w:t>2º.- Solicitar formalmente de la  Consejería de Transición Ecológi</w:t>
      </w:r>
      <w:r>
        <w:rPr>
          <w:rFonts w:ascii="Arial" w:eastAsia="Arial" w:hAnsi="Arial" w:cs="Arial"/>
          <w:i/>
        </w:rPr>
        <w:t>ca, Lucha contra el Cambio Climático y Planificación Territorial  del Gobierno de Canarias, a la que se encuentra adscrita la entidad “GESTUR CANARIAS,SA ”, que inicie el procedimiento de modificación estatutaria para que la segunda pueda ser declarada med</w:t>
      </w:r>
      <w:r>
        <w:rPr>
          <w:rFonts w:ascii="Arial" w:eastAsia="Arial" w:hAnsi="Arial" w:cs="Arial"/>
          <w:i/>
        </w:rPr>
        <w:t>io propio personificado y destinataria, por tanto de los encargos que este Ayuntamiento le pueda conferir, en los estrictos términos regulados en el acuerdo adoptado por el Gobierno de Canarias, en sesión de fecha 26 de marzo de 2018, y en coherencia con l</w:t>
      </w:r>
      <w:r>
        <w:rPr>
          <w:rFonts w:ascii="Arial" w:eastAsia="Arial" w:hAnsi="Arial" w:cs="Arial"/>
          <w:i/>
        </w:rPr>
        <w:t>a regulación establecida en el art. 32.4 de la LCSP.</w:t>
      </w:r>
      <w:r>
        <w:rPr>
          <w:rFonts w:ascii="Times New Roman" w:eastAsia="Times New Roman" w:hAnsi="Times New Roman" w:cs="Times New Roman"/>
          <w:sz w:val="24"/>
        </w:rPr>
        <w:t xml:space="preserve"> </w:t>
      </w:r>
    </w:p>
    <w:p w:rsidR="00FA7413" w:rsidRDefault="00D712A8">
      <w:pPr>
        <w:spacing w:after="14"/>
        <w:ind w:left="1068"/>
      </w:pPr>
      <w:r>
        <w:rPr>
          <w:rFonts w:ascii="Arial" w:eastAsia="Arial" w:hAnsi="Arial" w:cs="Arial"/>
          <w:i/>
        </w:rPr>
        <w:t xml:space="preserve"> </w:t>
      </w:r>
    </w:p>
    <w:p w:rsidR="00FA7413" w:rsidRDefault="00D712A8">
      <w:pPr>
        <w:spacing w:after="33" w:line="247" w:lineRule="auto"/>
        <w:ind w:left="345" w:right="62" w:firstLine="708"/>
        <w:jc w:val="both"/>
      </w:pPr>
      <w:r>
        <w:rPr>
          <w:rFonts w:ascii="Arial" w:eastAsia="Arial" w:hAnsi="Arial" w:cs="Arial"/>
          <w:i/>
        </w:rPr>
        <w:t>3º.- Solicitar formalmente de la Consejería de Transición Ecológica, Lucha contra el Cambio Climático y Planificación Territorial  del Gobierno de Canarias, a la que se encuentra adscrita la entidad “</w:t>
      </w:r>
      <w:r>
        <w:rPr>
          <w:rFonts w:ascii="Arial" w:eastAsia="Arial" w:hAnsi="Arial" w:cs="Arial"/>
          <w:i/>
        </w:rPr>
        <w:t xml:space="preserve">GESTUR CANARIAS,SA”, que se tenga por designada como vocal único en el Consejo de Administración de la misma, como representante de la totalidad de los municipios, a la representante designada por la Federación Canaria de Municipios, Don Ignacio Rodríguez </w:t>
      </w:r>
      <w:r>
        <w:rPr>
          <w:rFonts w:ascii="Arial" w:eastAsia="Arial" w:hAnsi="Arial" w:cs="Arial"/>
          <w:i/>
        </w:rPr>
        <w:t xml:space="preserve">Jorge, Alcalde-Presidente del Ayuntamiento de La Matanza, o en su caso, a la persona que lo sustituya, según acuerdo adoptado por la FECAM. </w:t>
      </w:r>
    </w:p>
    <w:p w:rsidR="00FA7413" w:rsidRDefault="00D712A8">
      <w:pPr>
        <w:spacing w:after="0"/>
        <w:ind w:left="1068"/>
      </w:pPr>
      <w:r>
        <w:rPr>
          <w:rFonts w:ascii="Arial" w:eastAsia="Arial" w:hAnsi="Arial" w:cs="Arial"/>
          <w:i/>
        </w:rPr>
        <w:t xml:space="preserve"> </w:t>
      </w:r>
    </w:p>
    <w:p w:rsidR="00FA7413" w:rsidRDefault="00D712A8">
      <w:pPr>
        <w:spacing w:after="0" w:line="247" w:lineRule="auto"/>
        <w:ind w:left="345" w:right="62" w:firstLine="708"/>
        <w:jc w:val="both"/>
      </w:pPr>
      <w:r>
        <w:rPr>
          <w:noProof/>
        </w:rPr>
        <mc:AlternateContent>
          <mc:Choice Requires="wpg">
            <w:drawing>
              <wp:anchor distT="0" distB="0" distL="114300" distR="114300" simplePos="0" relativeHeight="251790336"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8857" name="Group 218857"/>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5051" name="Rectangle 15051"/>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5052" name="Rectangle 15052"/>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w:t>
                              </w:r>
                              <w:r>
                                <w:rPr>
                                  <w:rFonts w:ascii="Arial" w:eastAsia="Arial" w:hAnsi="Arial" w:cs="Arial"/>
                                  <w:sz w:val="12"/>
                                </w:rPr>
                                <w:t xml:space="preserve">firmado electrónicamente desde la plataforma esPublico Gestiona | Página 128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8857" style="width:12.7031pt;height:275.586pt;position:absolute;mso-position-horizontal-relative:page;mso-position-horizontal:absolute;margin-left:682.278pt;mso-position-vertical-relative:page;margin-top:536.334pt;" coordsize="1613,34999">
                <v:rect id="Rectangle 15051"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5052"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128 de 180 </w:t>
                        </w:r>
                      </w:p>
                    </w:txbxContent>
                  </v:textbox>
                </v:rect>
                <w10:wrap type="square"/>
              </v:group>
            </w:pict>
          </mc:Fallback>
        </mc:AlternateContent>
      </w:r>
      <w:r>
        <w:rPr>
          <w:rFonts w:ascii="Arial" w:eastAsia="Arial" w:hAnsi="Arial" w:cs="Arial"/>
          <w:i/>
        </w:rPr>
        <w:t>4º.-  Facultar a la Alcaldesa para la firma de los documentos necesarios de declaración de la entidad “GESTUR CANARIAS, SA”, adscrita a la Consejería de Transición Ecológi</w:t>
      </w:r>
      <w:r>
        <w:rPr>
          <w:rFonts w:ascii="Arial" w:eastAsia="Arial" w:hAnsi="Arial" w:cs="Arial"/>
          <w:i/>
        </w:rPr>
        <w:t xml:space="preserve">ca, Lucha contra el Cambio Climático y Planificación Territorial del Gobierno de Canarias, como medio propio personificado del mismo. </w:t>
      </w:r>
    </w:p>
    <w:p w:rsidR="00FA7413" w:rsidRDefault="00D712A8">
      <w:pPr>
        <w:spacing w:after="0"/>
        <w:ind w:left="1068"/>
      </w:pPr>
      <w:r>
        <w:rPr>
          <w:rFonts w:ascii="Arial" w:eastAsia="Arial" w:hAnsi="Arial" w:cs="Arial"/>
          <w:i/>
        </w:rPr>
        <w:t xml:space="preserve"> </w:t>
      </w:r>
    </w:p>
    <w:p w:rsidR="00FA7413" w:rsidRDefault="00D712A8">
      <w:pPr>
        <w:spacing w:after="112" w:line="247" w:lineRule="auto"/>
        <w:ind w:left="345" w:right="62" w:firstLine="708"/>
        <w:jc w:val="both"/>
      </w:pPr>
      <w:r>
        <w:rPr>
          <w:rFonts w:ascii="Arial" w:eastAsia="Arial" w:hAnsi="Arial" w:cs="Arial"/>
          <w:i/>
        </w:rPr>
        <w:t>5º.- Dar traslado del presente acuerdo a la Consejería de Transición Ecológica, Lucha contra el Cambio Climático y Plan</w:t>
      </w:r>
      <w:r>
        <w:rPr>
          <w:rFonts w:ascii="Arial" w:eastAsia="Arial" w:hAnsi="Arial" w:cs="Arial"/>
          <w:i/>
        </w:rPr>
        <w:t xml:space="preserve">ificación Territorial del Gobierno de Canarias, a la FECAM y a la entidad GESTUR CANARIAS, SA, a los efectos oportunos.” </w:t>
      </w:r>
    </w:p>
    <w:p w:rsidR="00FA7413" w:rsidRDefault="00D712A8">
      <w:pPr>
        <w:spacing w:after="98"/>
        <w:ind w:left="360"/>
      </w:pPr>
      <w:r>
        <w:rPr>
          <w:rFonts w:ascii="Arial" w:eastAsia="Arial" w:hAnsi="Arial" w:cs="Arial"/>
        </w:rPr>
        <w:t xml:space="preserve"> </w:t>
      </w:r>
    </w:p>
    <w:p w:rsidR="00FA7413" w:rsidRDefault="00D712A8">
      <w:pPr>
        <w:spacing w:after="109" w:line="248" w:lineRule="auto"/>
        <w:ind w:left="1078" w:right="64" w:hanging="10"/>
        <w:jc w:val="both"/>
      </w:pPr>
      <w:r>
        <w:rPr>
          <w:rFonts w:ascii="Arial" w:eastAsia="Arial" w:hAnsi="Arial" w:cs="Arial"/>
        </w:rPr>
        <w:t xml:space="preserve">En virtud, de lo expuesto, se somete al Pleno la siguiente: </w:t>
      </w:r>
    </w:p>
    <w:p w:rsidR="00FA7413" w:rsidRDefault="00D712A8">
      <w:pPr>
        <w:spacing w:after="98"/>
        <w:ind w:left="1068"/>
      </w:pPr>
      <w:r>
        <w:rPr>
          <w:rFonts w:ascii="Arial" w:eastAsia="Arial" w:hAnsi="Arial" w:cs="Arial"/>
        </w:rPr>
        <w:t xml:space="preserve"> </w:t>
      </w:r>
    </w:p>
    <w:p w:rsidR="00FA7413" w:rsidRDefault="00D712A8">
      <w:pPr>
        <w:spacing w:after="98"/>
        <w:ind w:left="1068"/>
      </w:pPr>
      <w:r>
        <w:rPr>
          <w:rFonts w:ascii="Arial" w:eastAsia="Arial" w:hAnsi="Arial" w:cs="Arial"/>
        </w:rPr>
        <w:t xml:space="preserve"> </w:t>
      </w:r>
    </w:p>
    <w:p w:rsidR="00FA7413" w:rsidRDefault="00D712A8">
      <w:pPr>
        <w:pStyle w:val="Ttulo1"/>
        <w:ind w:left="1013" w:right="718"/>
      </w:pPr>
      <w:r>
        <w:t xml:space="preserve">Propuesta de Acuerdo </w:t>
      </w:r>
    </w:p>
    <w:p w:rsidR="00FA7413" w:rsidRDefault="00D712A8">
      <w:pPr>
        <w:spacing w:after="98"/>
        <w:ind w:left="346"/>
        <w:jc w:val="center"/>
      </w:pPr>
      <w:r>
        <w:rPr>
          <w:rFonts w:ascii="Arial" w:eastAsia="Arial" w:hAnsi="Arial" w:cs="Arial"/>
          <w:b/>
        </w:rPr>
        <w:t xml:space="preserve"> </w:t>
      </w:r>
    </w:p>
    <w:p w:rsidR="00FA7413" w:rsidRDefault="00D712A8">
      <w:pPr>
        <w:spacing w:after="0" w:line="248" w:lineRule="auto"/>
        <w:ind w:left="345" w:right="64" w:firstLine="708"/>
        <w:jc w:val="both"/>
      </w:pPr>
      <w:r>
        <w:rPr>
          <w:rFonts w:ascii="Arial" w:eastAsia="Arial" w:hAnsi="Arial" w:cs="Arial"/>
          <w:b/>
        </w:rPr>
        <w:t>1º</w:t>
      </w:r>
      <w:r>
        <w:rPr>
          <w:rFonts w:ascii="Arial" w:eastAsia="Arial" w:hAnsi="Arial" w:cs="Arial"/>
        </w:rPr>
        <w:t xml:space="preserve">.- </w:t>
      </w:r>
      <w:r>
        <w:rPr>
          <w:rFonts w:ascii="Arial" w:eastAsia="Arial" w:hAnsi="Arial" w:cs="Arial"/>
        </w:rPr>
        <w:t>Otorgar la conformidad expresa de esta Corporación a la declaración de la entidad “GESTUR CANARIAS, SA”, adscrita a la Consejería de Transición Ecológica, Lucha contra el Cambio Climático y Planificación Territorial del Gobierno de Canarias, como medio per</w:t>
      </w:r>
      <w:r>
        <w:rPr>
          <w:rFonts w:ascii="Arial" w:eastAsia="Arial" w:hAnsi="Arial" w:cs="Arial"/>
        </w:rPr>
        <w:t xml:space="preserve">sonificado del mismo, a los efectos dispuestos en el artículo 32.2 de la Ley 4/2012, de 25 de junio, de medidas administrativas y fiscales, en relación con el art. 32.4 de la LCSP.      </w:t>
      </w:r>
      <w:r>
        <w:rPr>
          <w:rFonts w:ascii="Times New Roman" w:eastAsia="Times New Roman" w:hAnsi="Times New Roman" w:cs="Times New Roman"/>
          <w:sz w:val="24"/>
        </w:rPr>
        <w:t xml:space="preserve"> </w: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spacing w:after="0" w:line="248" w:lineRule="auto"/>
        <w:ind w:left="345" w:right="64" w:firstLine="708"/>
        <w:jc w:val="both"/>
      </w:pPr>
      <w:r>
        <w:rPr>
          <w:rFonts w:ascii="Arial" w:eastAsia="Arial" w:hAnsi="Arial" w:cs="Arial"/>
          <w:b/>
        </w:rPr>
        <w:t xml:space="preserve">2º.- </w:t>
      </w:r>
      <w:r>
        <w:rPr>
          <w:rFonts w:ascii="Arial" w:eastAsia="Arial" w:hAnsi="Arial" w:cs="Arial"/>
        </w:rPr>
        <w:t>Solicitar formalmente de la  Consejería de Transición Ecológi</w:t>
      </w:r>
      <w:r>
        <w:rPr>
          <w:rFonts w:ascii="Arial" w:eastAsia="Arial" w:hAnsi="Arial" w:cs="Arial"/>
        </w:rPr>
        <w:t>ca, Lucha contra el Cambio Climático y Planificación Territorial  del Gobierno de Canarias, a la que se encuentra adscrita la entidad “GESTUR CANARIAS,SA ”, que inicie el procedimiento de modificación estatutaria para que la segunda pueda ser declarada med</w:t>
      </w:r>
      <w:r>
        <w:rPr>
          <w:rFonts w:ascii="Arial" w:eastAsia="Arial" w:hAnsi="Arial" w:cs="Arial"/>
        </w:rPr>
        <w:t>io propio personificado y destinataria, por tanto de los encargos que este Ayuntamiento le pueda conferir, en los estrictos términos regulados en el acuerdo adoptado por el Gobierno de Canarias, en sesión de fecha 26 de marzo de 2018, y en coherencia con l</w:t>
      </w:r>
      <w:r>
        <w:rPr>
          <w:rFonts w:ascii="Arial" w:eastAsia="Arial" w:hAnsi="Arial" w:cs="Arial"/>
        </w:rPr>
        <w:t>a regulación establecida en el art. 32.4 de la LCSP.</w:t>
      </w:r>
      <w:r>
        <w:rPr>
          <w:rFonts w:ascii="Times New Roman" w:eastAsia="Times New Roman" w:hAnsi="Times New Roman" w:cs="Times New Roman"/>
          <w:sz w:val="24"/>
        </w:rPr>
        <w:t xml:space="preserve"> </w:t>
      </w:r>
    </w:p>
    <w:p w:rsidR="00FA7413" w:rsidRDefault="00D712A8">
      <w:pPr>
        <w:spacing w:after="14"/>
        <w:ind w:left="1068"/>
      </w:pPr>
      <w:r>
        <w:rPr>
          <w:rFonts w:ascii="Arial" w:eastAsia="Arial" w:hAnsi="Arial" w:cs="Arial"/>
        </w:rPr>
        <w:t xml:space="preserve"> </w:t>
      </w:r>
    </w:p>
    <w:p w:rsidR="00FA7413" w:rsidRDefault="00D712A8">
      <w:pPr>
        <w:spacing w:after="31" w:line="248" w:lineRule="auto"/>
        <w:ind w:left="345" w:right="64" w:firstLine="708"/>
        <w:jc w:val="both"/>
      </w:pPr>
      <w:r>
        <w:rPr>
          <w:rFonts w:ascii="Arial" w:eastAsia="Arial" w:hAnsi="Arial" w:cs="Arial"/>
          <w:b/>
        </w:rPr>
        <w:t xml:space="preserve">3º.- </w:t>
      </w:r>
      <w:r>
        <w:rPr>
          <w:rFonts w:ascii="Arial" w:eastAsia="Arial" w:hAnsi="Arial" w:cs="Arial"/>
        </w:rPr>
        <w:t>Solicitar formalmente de la Consejería de Transición Ecológica, Lucha contra el Cambio Climático y Planificación Territorial  del Gobierno de Canarias, a la que se encuentra adscrita la entidad “</w:t>
      </w:r>
      <w:r>
        <w:rPr>
          <w:rFonts w:ascii="Arial" w:eastAsia="Arial" w:hAnsi="Arial" w:cs="Arial"/>
        </w:rPr>
        <w:t xml:space="preserve">GESTUR CANARIAS,SA”, que se tenga por designada como vocal único en el Consejo de Administración de la misma, como representante de la totalidad de los municipios, a la representante designada por la Federación Canaria de Municipios, Don Ignacio Rodríguez </w:t>
      </w:r>
      <w:r>
        <w:rPr>
          <w:rFonts w:ascii="Arial" w:eastAsia="Arial" w:hAnsi="Arial" w:cs="Arial"/>
        </w:rPr>
        <w:t>Jorge, Alcalde-Presidente del Ayuntamiento de La Matanza, o en su caso, a la persona que lo sustituya, según acuerdo adoptado por la FECAM.</w:t>
      </w:r>
      <w:r>
        <w:rPr>
          <w:rFonts w:ascii="Times New Roman" w:eastAsia="Times New Roman" w:hAnsi="Times New Roman" w:cs="Times New Roman"/>
          <w:sz w:val="24"/>
        </w:rPr>
        <w:t xml:space="preserve"> </w:t>
      </w:r>
    </w:p>
    <w:p w:rsidR="00FA7413" w:rsidRDefault="00D712A8">
      <w:pPr>
        <w:spacing w:after="0"/>
        <w:ind w:left="1068"/>
      </w:pPr>
      <w:r>
        <w:rPr>
          <w:rFonts w:ascii="Arial" w:eastAsia="Arial" w:hAnsi="Arial" w:cs="Arial"/>
        </w:rPr>
        <w:t xml:space="preserve"> </w:t>
      </w:r>
    </w:p>
    <w:p w:rsidR="00FA7413" w:rsidRDefault="00D712A8">
      <w:pPr>
        <w:spacing w:after="0" w:line="248" w:lineRule="auto"/>
        <w:ind w:left="345" w:right="64" w:firstLine="708"/>
        <w:jc w:val="both"/>
      </w:pPr>
      <w:r>
        <w:rPr>
          <w:rFonts w:ascii="Arial" w:eastAsia="Arial" w:hAnsi="Arial" w:cs="Arial"/>
          <w:b/>
        </w:rPr>
        <w:t xml:space="preserve">4º.- </w:t>
      </w:r>
      <w:r>
        <w:rPr>
          <w:rFonts w:ascii="Arial" w:eastAsia="Arial" w:hAnsi="Arial" w:cs="Arial"/>
        </w:rPr>
        <w:t xml:space="preserve"> Facultar a la Alcaldesa para la firma de los documentos necesarios de declaración de la entidad “GESTUR CAN</w:t>
      </w:r>
      <w:r>
        <w:rPr>
          <w:rFonts w:ascii="Arial" w:eastAsia="Arial" w:hAnsi="Arial" w:cs="Arial"/>
        </w:rPr>
        <w:t>ARIAS, SA”, adscrita a la Consejería de Transición Ecológica, Lucha contra el Cambio Climático y Planificación Territorial del Gobierno de Canarias, como medio propio personificado del mismo.</w:t>
      </w:r>
      <w:r>
        <w:rPr>
          <w:rFonts w:ascii="Times New Roman" w:eastAsia="Times New Roman" w:hAnsi="Times New Roman" w:cs="Times New Roman"/>
          <w:sz w:val="24"/>
        </w:rPr>
        <w:t xml:space="preserve"> </w:t>
      </w:r>
    </w:p>
    <w:p w:rsidR="00FA7413" w:rsidRDefault="00D712A8">
      <w:pPr>
        <w:spacing w:after="0"/>
        <w:ind w:left="1068"/>
      </w:pPr>
      <w:r>
        <w:rPr>
          <w:rFonts w:ascii="Arial" w:eastAsia="Arial" w:hAnsi="Arial" w:cs="Arial"/>
        </w:rPr>
        <w:t xml:space="preserve"> </w:t>
      </w:r>
    </w:p>
    <w:p w:rsidR="00FA7413" w:rsidRDefault="00D712A8">
      <w:pPr>
        <w:spacing w:after="109" w:line="248" w:lineRule="auto"/>
        <w:ind w:left="345" w:right="64" w:firstLine="708"/>
        <w:jc w:val="both"/>
      </w:pPr>
      <w:r>
        <w:rPr>
          <w:rFonts w:ascii="Arial" w:eastAsia="Arial" w:hAnsi="Arial" w:cs="Arial"/>
          <w:b/>
        </w:rPr>
        <w:t xml:space="preserve">5º.- </w:t>
      </w:r>
      <w:r>
        <w:rPr>
          <w:rFonts w:ascii="Arial" w:eastAsia="Arial" w:hAnsi="Arial" w:cs="Arial"/>
        </w:rPr>
        <w:t xml:space="preserve">Dar traslado del presente acuerdo a la Consejería de Transición Ecológica, Lucha contra el Cambio Climático y Planificación Territorial del Gobierno de Canarias, a la FECAM y a la entidad GESTUR CANARIAS, SA, a los efectos oportunos.”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DICTAMEN FAVORABLE</w:t>
      </w:r>
      <w:r>
        <w:rPr>
          <w:rFonts w:ascii="Arial" w:eastAsia="Arial" w:hAnsi="Arial" w:cs="Arial"/>
          <w:b/>
        </w:rPr>
        <w:t xml:space="preserve"> DE LA COMISIÓN INFORMATIVA DE P.G. URBANÍSTICA Y AMBIENTAL, OBRAS y SERVICIOS PÚBLICOS DE 21 DE JUNIO DE 2021.  </w:t>
      </w:r>
    </w:p>
    <w:p w:rsidR="00FA7413" w:rsidRDefault="00D712A8">
      <w:pPr>
        <w:spacing w:after="0"/>
        <w:ind w:left="360"/>
      </w:pPr>
      <w:r>
        <w:rPr>
          <w:noProof/>
        </w:rPr>
        <mc:AlternateContent>
          <mc:Choice Requires="wpg">
            <w:drawing>
              <wp:anchor distT="0" distB="0" distL="114300" distR="114300" simplePos="0" relativeHeight="251791360"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9427" name="Group 219427"/>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5183" name="Rectangle 15183"/>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5184" name="Rectangle 15184"/>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Documento firmado electrónicamente desd</w:t>
                              </w:r>
                              <w:r>
                                <w:rPr>
                                  <w:rFonts w:ascii="Arial" w:eastAsia="Arial" w:hAnsi="Arial" w:cs="Arial"/>
                                  <w:sz w:val="12"/>
                                </w:rPr>
                                <w:t xml:space="preserve">e la plataforma esPublico Gestiona | Página 129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9427" style="width:12.7031pt;height:275.586pt;position:absolute;mso-position-horizontal-relative:page;mso-position-horizontal:absolute;margin-left:682.278pt;mso-position-vertical-relative:page;margin-top:536.334pt;" coordsize="1613,34999">
                <v:rect id="Rectangle 15183"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5184"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129 de 180 </w:t>
                        </w:r>
                      </w:p>
                    </w:txbxContent>
                  </v:textbox>
                </v:rect>
                <w10:wrap type="square"/>
              </v:group>
            </w:pict>
          </mc:Fallback>
        </mc:AlternateContent>
      </w:r>
      <w:r>
        <w:rPr>
          <w:rFonts w:ascii="Arial" w:eastAsia="Arial" w:hAnsi="Arial" w:cs="Arial"/>
          <w:b/>
        </w:rPr>
        <w:t xml:space="preserve">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2" w:hanging="10"/>
        <w:jc w:val="both"/>
      </w:pPr>
      <w:r>
        <w:rPr>
          <w:rFonts w:ascii="Arial" w:eastAsia="Arial" w:hAnsi="Arial" w:cs="Arial"/>
          <w:b/>
        </w:rPr>
        <w:t xml:space="preserve">Votos a favor: </w:t>
      </w:r>
      <w:r>
        <w:rPr>
          <w:rFonts w:ascii="Arial" w:eastAsia="Arial" w:hAnsi="Arial" w:cs="Arial"/>
        </w:rPr>
        <w:t>4.</w:t>
      </w:r>
      <w:r>
        <w:rPr>
          <w:rFonts w:ascii="Times New Roman" w:eastAsia="Times New Roman" w:hAnsi="Times New Roman" w:cs="Times New Roman"/>
          <w:sz w:val="24"/>
        </w:rPr>
        <w:t xml:space="preserve"> </w:t>
      </w:r>
    </w:p>
    <w:p w:rsidR="00FA7413" w:rsidRDefault="00D712A8">
      <w:pPr>
        <w:spacing w:after="11" w:line="248" w:lineRule="auto"/>
        <w:ind w:left="355" w:right="64" w:hanging="10"/>
        <w:jc w:val="both"/>
      </w:pPr>
      <w:r>
        <w:rPr>
          <w:rFonts w:ascii="Arial" w:eastAsia="Arial" w:hAnsi="Arial" w:cs="Arial"/>
        </w:rPr>
        <w:t xml:space="preserve">Los 4 concejales del Grupo Socialista: Doña Hilaria Cecilia Otazo González, Don José Francisco </w:t>
      </w:r>
    </w:p>
    <w:p w:rsidR="00FA7413" w:rsidRDefault="00D712A8">
      <w:pPr>
        <w:spacing w:after="11" w:line="248" w:lineRule="auto"/>
        <w:ind w:left="355" w:right="64" w:hanging="10"/>
        <w:jc w:val="both"/>
      </w:pPr>
      <w:r>
        <w:rPr>
          <w:rFonts w:ascii="Arial" w:eastAsia="Arial" w:hAnsi="Arial" w:cs="Arial"/>
        </w:rPr>
        <w:t xml:space="preserve">Pinto Ramos, Doña María del Carmen Clemente Díaz y Don Olegario Francisco Alonso </w:t>
      </w:r>
      <w:r>
        <w:rPr>
          <w:rFonts w:ascii="Arial" w:eastAsia="Arial" w:hAnsi="Arial" w:cs="Arial"/>
        </w:rPr>
        <w:t xml:space="preserve">Bello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355" w:right="62" w:hanging="10"/>
        <w:jc w:val="both"/>
      </w:pPr>
      <w:r>
        <w:rPr>
          <w:rFonts w:ascii="Arial" w:eastAsia="Arial" w:hAnsi="Arial" w:cs="Arial"/>
          <w:b/>
        </w:rPr>
        <w:t xml:space="preserve">Votos en contra: </w:t>
      </w:r>
      <w:r>
        <w:rPr>
          <w:rFonts w:ascii="Arial" w:eastAsia="Arial" w:hAnsi="Arial" w:cs="Arial"/>
        </w:rPr>
        <w:t>0.</w:t>
      </w:r>
      <w:r>
        <w:rPr>
          <w:rFonts w:ascii="Times New Roman" w:eastAsia="Times New Roman" w:hAnsi="Times New Roman" w:cs="Times New Roman"/>
          <w:sz w:val="24"/>
        </w:rPr>
        <w:t xml:space="preserve">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355" w:right="62" w:hanging="10"/>
        <w:jc w:val="both"/>
      </w:pPr>
      <w:r>
        <w:rPr>
          <w:rFonts w:ascii="Arial" w:eastAsia="Arial" w:hAnsi="Arial" w:cs="Arial"/>
          <w:b/>
        </w:rPr>
        <w:t xml:space="preserve">Abstenciones: </w:t>
      </w:r>
      <w:r>
        <w:rPr>
          <w:rFonts w:ascii="Arial" w:eastAsia="Arial" w:hAnsi="Arial" w:cs="Arial"/>
        </w:rPr>
        <w:t>3.</w:t>
      </w:r>
      <w:r>
        <w:rPr>
          <w:rFonts w:ascii="Times New Roman" w:eastAsia="Times New Roman" w:hAnsi="Times New Roman" w:cs="Times New Roman"/>
          <w:sz w:val="24"/>
        </w:rPr>
        <w:t xml:space="preserve"> </w:t>
      </w:r>
    </w:p>
    <w:p w:rsidR="00FA7413" w:rsidRDefault="00D712A8">
      <w:pPr>
        <w:spacing w:after="11" w:line="248" w:lineRule="auto"/>
        <w:ind w:left="355" w:right="64" w:hanging="10"/>
        <w:jc w:val="both"/>
      </w:pPr>
      <w:r>
        <w:rPr>
          <w:rFonts w:ascii="Arial" w:eastAsia="Arial" w:hAnsi="Arial" w:cs="Arial"/>
        </w:rPr>
        <w:t xml:space="preserve">La concejal del Grupo Popular, Doña Raquel Martín Castro.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 xml:space="preserve">La 2 concejalas del Grupo Mixto: Doña Lourdes del Carmen Mondéjar Rondón (SSP) y Doña Ángela Cruz Perera (CC).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3516" w:hanging="10"/>
        <w:jc w:val="both"/>
      </w:pPr>
      <w:r>
        <w:rPr>
          <w:rFonts w:ascii="Arial" w:eastAsia="Arial" w:hAnsi="Arial" w:cs="Arial"/>
          <w:b/>
        </w:rPr>
        <w:t xml:space="preserve">JUNTA DE PORTAVOCES DE 21 DE JUNIO DE 2021  </w:t>
      </w:r>
      <w:r>
        <w:rPr>
          <w:rFonts w:ascii="Arial" w:eastAsia="Arial" w:hAnsi="Arial" w:cs="Arial"/>
        </w:rPr>
        <w:t xml:space="preserve">Quedó oída.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355" w:right="62" w:hanging="10"/>
        <w:jc w:val="both"/>
      </w:pPr>
      <w:r>
        <w:rPr>
          <w:rFonts w:ascii="Arial" w:eastAsia="Arial" w:hAnsi="Arial" w:cs="Arial"/>
          <w:b/>
        </w:rPr>
        <w:t xml:space="preserve">VOTACIÓN EN EL PLENO DE  24 DE JUNIO DE 2021.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355" w:right="64" w:hanging="10"/>
        <w:jc w:val="both"/>
      </w:pPr>
      <w:r>
        <w:rPr>
          <w:rFonts w:ascii="Arial" w:eastAsia="Arial" w:hAnsi="Arial" w:cs="Arial"/>
        </w:rPr>
        <w:t xml:space="preserve">Votos a favor: 17. </w:t>
      </w:r>
    </w:p>
    <w:p w:rsidR="00FA7413" w:rsidRDefault="00D712A8">
      <w:pPr>
        <w:spacing w:after="109" w:line="248" w:lineRule="auto"/>
        <w:ind w:left="345" w:right="64" w:firstLine="708"/>
        <w:jc w:val="both"/>
      </w:pPr>
      <w:r>
        <w:rPr>
          <w:rFonts w:ascii="Arial" w:eastAsia="Arial" w:hAnsi="Arial" w:cs="Arial"/>
        </w:rPr>
        <w:t xml:space="preserve">11 </w:t>
      </w:r>
      <w:r>
        <w:rPr>
          <w:rFonts w:ascii="Arial" w:eastAsia="Arial" w:hAnsi="Arial" w:cs="Arial"/>
        </w:rPr>
        <w:t>concejales del Grupo Socialista: Doña María Concepción Brito Núñez, Don Jorge Baute Delgado, Doña Olivia Concepción Pérez Díaz, Don José Francisco Pinto Ramos, Doña Hilaria Cecilia Otazo González, Don Airam Pérez Chinea, Doña Margarita Eva Tendero Barroso,</w:t>
      </w:r>
      <w:r>
        <w:rPr>
          <w:rFonts w:ascii="Arial" w:eastAsia="Arial" w:hAnsi="Arial" w:cs="Arial"/>
        </w:rPr>
        <w:t xml:space="preserve"> Don Manuel Alberto González Pestano, Doña María del Carmen Clemente Díaz, Don Olegario Francisco Alonso Bello y Don Reinaldo José Triviño Blanco. </w:t>
      </w:r>
    </w:p>
    <w:p w:rsidR="00FA7413" w:rsidRDefault="00D712A8">
      <w:pPr>
        <w:spacing w:after="109" w:line="248" w:lineRule="auto"/>
        <w:ind w:left="345" w:right="64" w:firstLine="708"/>
        <w:jc w:val="both"/>
      </w:pPr>
      <w:r>
        <w:rPr>
          <w:rFonts w:ascii="Arial" w:eastAsia="Arial" w:hAnsi="Arial" w:cs="Arial"/>
        </w:rPr>
        <w:t>3 concejales del Grupo Popular: Don Andrés Rodríguez Delgado, Don Jacobo López Fariña, Doña Raquel Martín Ca</w:t>
      </w:r>
      <w:r>
        <w:rPr>
          <w:rFonts w:ascii="Arial" w:eastAsia="Arial" w:hAnsi="Arial" w:cs="Arial"/>
        </w:rPr>
        <w:t xml:space="preserve">stro. </w:t>
      </w:r>
    </w:p>
    <w:p w:rsidR="00FA7413" w:rsidRDefault="00D712A8">
      <w:pPr>
        <w:spacing w:after="109" w:line="248" w:lineRule="auto"/>
        <w:ind w:left="345" w:right="64" w:firstLine="708"/>
        <w:jc w:val="both"/>
      </w:pPr>
      <w:r>
        <w:rPr>
          <w:rFonts w:ascii="Arial" w:eastAsia="Arial" w:hAnsi="Arial" w:cs="Arial"/>
        </w:rPr>
        <w:t xml:space="preserve">3 de los concejales del Grupo Mixto: Don Antonio Delgado García y Doña Lourdes del Carmen Mondéjar Rondón (SSP) y Doña Ángela Cruz Perera (CC).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Votos en contra: 0.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Abstenciones: 1. </w:t>
      </w:r>
    </w:p>
    <w:p w:rsidR="00FA7413" w:rsidRDefault="00D712A8">
      <w:pPr>
        <w:spacing w:after="0"/>
        <w:ind w:left="360"/>
      </w:pPr>
      <w:r>
        <w:rPr>
          <w:rFonts w:ascii="Arial" w:eastAsia="Arial" w:hAnsi="Arial" w:cs="Arial"/>
          <w:b/>
        </w:rPr>
        <w:t xml:space="preserve"> </w:t>
      </w:r>
    </w:p>
    <w:p w:rsidR="00FA7413" w:rsidRDefault="00D712A8">
      <w:pPr>
        <w:spacing w:after="109" w:line="248" w:lineRule="auto"/>
        <w:ind w:left="1078" w:right="64" w:hanging="10"/>
        <w:jc w:val="both"/>
      </w:pPr>
      <w:r>
        <w:rPr>
          <w:rFonts w:ascii="Arial" w:eastAsia="Arial" w:hAnsi="Arial" w:cs="Arial"/>
          <w:b/>
        </w:rPr>
        <w:t xml:space="preserve"> </w:t>
      </w:r>
      <w:r>
        <w:rPr>
          <w:rFonts w:ascii="Arial" w:eastAsia="Arial" w:hAnsi="Arial" w:cs="Arial"/>
        </w:rPr>
        <w:t xml:space="preserve">1 de la concejal del Grupo Mixto (VxC): Doña Alicia Mercedes Marrero Meneses. </w:t>
      </w:r>
    </w:p>
    <w:p w:rsidR="00FA7413" w:rsidRDefault="00D712A8">
      <w:pPr>
        <w:spacing w:after="0"/>
        <w:ind w:left="1013" w:right="855" w:hanging="10"/>
        <w:jc w:val="center"/>
      </w:pPr>
      <w:r>
        <w:rPr>
          <w:rFonts w:ascii="Arial" w:eastAsia="Arial" w:hAnsi="Arial" w:cs="Arial"/>
          <w:b/>
        </w:rPr>
        <w:t xml:space="preserve">ACUERDO DEL PLENO DE 24 DE JUNIO DE 2021. </w:t>
      </w:r>
    </w:p>
    <w:p w:rsidR="00FA7413" w:rsidRDefault="00D712A8">
      <w:pPr>
        <w:spacing w:after="0"/>
        <w:ind w:left="1068"/>
      </w:pPr>
      <w:r>
        <w:rPr>
          <w:rFonts w:ascii="Arial" w:eastAsia="Arial" w:hAnsi="Arial" w:cs="Arial"/>
          <w:b/>
        </w:rPr>
        <w:t xml:space="preserve"> </w:t>
      </w:r>
    </w:p>
    <w:p w:rsidR="00FA7413" w:rsidRDefault="00D712A8">
      <w:pPr>
        <w:spacing w:after="0" w:line="248" w:lineRule="auto"/>
        <w:ind w:left="345" w:right="62" w:firstLine="708"/>
        <w:jc w:val="both"/>
      </w:pPr>
      <w:r>
        <w:rPr>
          <w:rFonts w:ascii="Arial" w:eastAsia="Arial" w:hAnsi="Arial" w:cs="Arial"/>
          <w:b/>
        </w:rPr>
        <w:t>1º.- Otorgar la conformidad expresa de esta Corporación a la declaración de la entidad “GESTUR CANARIAS, SA”, adscrita a la Consejer</w:t>
      </w:r>
      <w:r>
        <w:rPr>
          <w:rFonts w:ascii="Arial" w:eastAsia="Arial" w:hAnsi="Arial" w:cs="Arial"/>
          <w:b/>
        </w:rPr>
        <w:t>ía de Transición Ecológica, Lucha contra el Cambio Climático y Planificación Territorial del Gobierno de Canarias, como medio personificado del mismo, a los efectos dispuestos en el artículo 32.2 de la Ley 4/2012, de 25 de junio, de medidas administrativas</w:t>
      </w:r>
      <w:r>
        <w:rPr>
          <w:rFonts w:ascii="Arial" w:eastAsia="Arial" w:hAnsi="Arial" w:cs="Arial"/>
          <w:b/>
        </w:rPr>
        <w:t xml:space="preserve"> y fiscales, en relación con el art. 32.4 de la LCSP.      </w:t>
      </w:r>
      <w:r>
        <w:rPr>
          <w:rFonts w:ascii="Times New Roman" w:eastAsia="Times New Roman" w:hAnsi="Times New Roman" w:cs="Times New Roman"/>
          <w:sz w:val="24"/>
        </w:rPr>
        <w:t xml:space="preserve"> </w: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spacing w:after="0" w:line="248" w:lineRule="auto"/>
        <w:ind w:left="345" w:right="62" w:firstLine="708"/>
        <w:jc w:val="both"/>
      </w:pPr>
      <w:r>
        <w:rPr>
          <w:noProof/>
        </w:rPr>
        <mc:AlternateContent>
          <mc:Choice Requires="wpg">
            <w:drawing>
              <wp:anchor distT="0" distB="0" distL="114300" distR="114300" simplePos="0" relativeHeight="251792384"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9306" name="Group 219306"/>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5304" name="Rectangle 15304"/>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5305" name="Rectangle 15305"/>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130 de </w:t>
                              </w:r>
                              <w:r>
                                <w:rPr>
                                  <w:rFonts w:ascii="Arial" w:eastAsia="Arial" w:hAnsi="Arial" w:cs="Arial"/>
                                  <w:sz w:val="12"/>
                                </w:rPr>
                                <w:t xml:space="preserve">180 </w:t>
                              </w:r>
                            </w:p>
                          </w:txbxContent>
                        </wps:txbx>
                        <wps:bodyPr horzOverflow="overflow" vert="horz" lIns="0" tIns="0" rIns="0" bIns="0" rtlCol="0">
                          <a:noAutofit/>
                        </wps:bodyPr>
                      </wps:wsp>
                    </wpg:wgp>
                  </a:graphicData>
                </a:graphic>
              </wp:anchor>
            </w:drawing>
          </mc:Choice>
          <mc:Fallback xmlns:a="http://schemas.openxmlformats.org/drawingml/2006/main">
            <w:pict>
              <v:group id="Group 219306" style="width:12.7031pt;height:275.586pt;position:absolute;mso-position-horizontal-relative:page;mso-position-horizontal:absolute;margin-left:682.278pt;mso-position-vertical-relative:page;margin-top:536.334pt;" coordsize="1613,34999">
                <v:rect id="Rectangle 15304"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5305"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130 de 180 </w:t>
                        </w:r>
                      </w:p>
                    </w:txbxContent>
                  </v:textbox>
                </v:rect>
                <w10:wrap type="square"/>
              </v:group>
            </w:pict>
          </mc:Fallback>
        </mc:AlternateContent>
      </w:r>
      <w:r>
        <w:rPr>
          <w:rFonts w:ascii="Arial" w:eastAsia="Arial" w:hAnsi="Arial" w:cs="Arial"/>
          <w:b/>
        </w:rPr>
        <w:t xml:space="preserve">2º.- Solicitar formalmente de la  Consejería de Transición Ecológica, Lucha contra el Cambio Climático y Planificación Territorial  del Gobierno de Canarias, a la que se encuentra adscrita la entidad “GESTUR CANARIAS,SA ”, que inicie el procedimiento </w:t>
      </w:r>
      <w:r>
        <w:rPr>
          <w:rFonts w:ascii="Arial" w:eastAsia="Arial" w:hAnsi="Arial" w:cs="Arial"/>
          <w:b/>
        </w:rPr>
        <w:t xml:space="preserve">de modificación estatutaria para que la segunda pueda ser declarada medio propio personificado y destinataria, por tanto de los encargos que este Ayuntamiento le pueda conferir, en los estrictos términos regulados en el acuerdo adoptado por el Gobierno de </w:t>
      </w:r>
      <w:r>
        <w:rPr>
          <w:rFonts w:ascii="Arial" w:eastAsia="Arial" w:hAnsi="Arial" w:cs="Arial"/>
          <w:b/>
        </w:rPr>
        <w:t>Canarias, en sesión de fecha 26 de marzo de 2018, y en coherencia con la regulación establecida en el art. 32.4 de la LCSP.</w:t>
      </w:r>
      <w:r>
        <w:rPr>
          <w:rFonts w:ascii="Times New Roman" w:eastAsia="Times New Roman" w:hAnsi="Times New Roman" w:cs="Times New Roman"/>
          <w:sz w:val="24"/>
        </w:rPr>
        <w:t xml:space="preserve"> </w:t>
      </w:r>
    </w:p>
    <w:p w:rsidR="00FA7413" w:rsidRDefault="00D712A8">
      <w:pPr>
        <w:spacing w:after="19"/>
        <w:ind w:left="1068"/>
      </w:pPr>
      <w:r>
        <w:rPr>
          <w:rFonts w:ascii="Arial" w:eastAsia="Arial" w:hAnsi="Arial" w:cs="Arial"/>
          <w:b/>
        </w:rPr>
        <w:t xml:space="preserve"> </w:t>
      </w:r>
    </w:p>
    <w:p w:rsidR="00FA7413" w:rsidRDefault="00D712A8">
      <w:pPr>
        <w:spacing w:after="33" w:line="248" w:lineRule="auto"/>
        <w:ind w:left="345" w:right="62" w:firstLine="708"/>
        <w:jc w:val="both"/>
      </w:pPr>
      <w:r>
        <w:rPr>
          <w:rFonts w:ascii="Arial" w:eastAsia="Arial" w:hAnsi="Arial" w:cs="Arial"/>
          <w:b/>
        </w:rPr>
        <w:t xml:space="preserve">3º.- </w:t>
      </w:r>
      <w:r>
        <w:rPr>
          <w:rFonts w:ascii="Arial" w:eastAsia="Arial" w:hAnsi="Arial" w:cs="Arial"/>
          <w:b/>
        </w:rPr>
        <w:t>Solicitar formalmente de la Consejería de Transición Ecológica, Lucha contra el Cambio Climático y Planificación Territorial  del Gobierno de Canarias, a la que se encuentra adscrita la entidad “GESTUR CANARIAS,SA”, que se tenga por designada como vocal ún</w:t>
      </w:r>
      <w:r>
        <w:rPr>
          <w:rFonts w:ascii="Arial" w:eastAsia="Arial" w:hAnsi="Arial" w:cs="Arial"/>
          <w:b/>
        </w:rPr>
        <w:t>ico en el Consejo de Administración de la misma, como representante de la totalidad de los municipios, a la representante designada por la Federación Canaria de Municipios, Don Ignacio Rodríguez Jorge, Alcalde-Presidente del Ayuntamiento de La Matanza, o e</w:t>
      </w:r>
      <w:r>
        <w:rPr>
          <w:rFonts w:ascii="Arial" w:eastAsia="Arial" w:hAnsi="Arial" w:cs="Arial"/>
          <w:b/>
        </w:rPr>
        <w:t xml:space="preserve">n su caso, a la persona que lo sustituya, según acuerdo adoptado por la FECAM. </w:t>
      </w:r>
    </w:p>
    <w:p w:rsidR="00FA7413" w:rsidRDefault="00D712A8">
      <w:pPr>
        <w:spacing w:after="0"/>
        <w:ind w:left="1068"/>
      </w:pPr>
      <w:r>
        <w:rPr>
          <w:rFonts w:ascii="Arial" w:eastAsia="Arial" w:hAnsi="Arial" w:cs="Arial"/>
          <w:b/>
        </w:rPr>
        <w:t xml:space="preserve"> </w:t>
      </w:r>
    </w:p>
    <w:p w:rsidR="00FA7413" w:rsidRDefault="00D712A8">
      <w:pPr>
        <w:spacing w:after="0" w:line="248" w:lineRule="auto"/>
        <w:ind w:left="345" w:right="62" w:firstLine="708"/>
        <w:jc w:val="both"/>
      </w:pPr>
      <w:r>
        <w:rPr>
          <w:rFonts w:ascii="Arial" w:eastAsia="Arial" w:hAnsi="Arial" w:cs="Arial"/>
          <w:b/>
        </w:rPr>
        <w:t>4º.-  Facultar a la Alcaldesa para la firma de los documentos necesarios de declaración de la entidad “GESTUR CANARIAS, SA”, adscrita a la Consejería de Transición Ecológica,</w:t>
      </w:r>
      <w:r>
        <w:rPr>
          <w:rFonts w:ascii="Arial" w:eastAsia="Arial" w:hAnsi="Arial" w:cs="Arial"/>
          <w:b/>
        </w:rPr>
        <w:t xml:space="preserve"> Lucha contra el Cambio Climático y Planificación Territorial del Gobierno de Canarias, como medio propio personificado del mismo. </w:t>
      </w:r>
    </w:p>
    <w:p w:rsidR="00FA7413" w:rsidRDefault="00D712A8">
      <w:pPr>
        <w:spacing w:after="0"/>
        <w:ind w:left="1068"/>
      </w:pPr>
      <w:r>
        <w:rPr>
          <w:rFonts w:ascii="Arial" w:eastAsia="Arial" w:hAnsi="Arial" w:cs="Arial"/>
          <w:b/>
        </w:rPr>
        <w:t xml:space="preserve"> </w:t>
      </w:r>
    </w:p>
    <w:p w:rsidR="00FA7413" w:rsidRDefault="00D712A8">
      <w:pPr>
        <w:spacing w:after="112" w:line="248" w:lineRule="auto"/>
        <w:ind w:left="345" w:right="62" w:firstLine="708"/>
        <w:jc w:val="both"/>
      </w:pPr>
      <w:r>
        <w:rPr>
          <w:rFonts w:ascii="Arial" w:eastAsia="Arial" w:hAnsi="Arial" w:cs="Arial"/>
          <w:b/>
        </w:rPr>
        <w:t>5º.- Dar traslado del presente acuerdo a la Consejería de Transición Ecológica, Lucha contra el Cambio Climático y Planifi</w:t>
      </w:r>
      <w:r>
        <w:rPr>
          <w:rFonts w:ascii="Arial" w:eastAsia="Arial" w:hAnsi="Arial" w:cs="Arial"/>
          <w:b/>
        </w:rPr>
        <w:t xml:space="preserve">cación Territorial del Gobierno de Canarias, a la FECAM y a la entidad GESTUR CANARIAS, SA, a los efectos oportunos.”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117"/>
        <w:ind w:left="360"/>
      </w:pPr>
      <w:r>
        <w:rPr>
          <w:rFonts w:ascii="Arial" w:eastAsia="Arial" w:hAnsi="Arial" w:cs="Arial"/>
        </w:rPr>
        <w:t xml:space="preserve"> </w:t>
      </w:r>
    </w:p>
    <w:p w:rsidR="00FA7413" w:rsidRDefault="00D712A8">
      <w:pPr>
        <w:spacing w:after="93" w:line="249" w:lineRule="auto"/>
        <w:ind w:left="355" w:right="66" w:hanging="10"/>
        <w:jc w:val="both"/>
      </w:pPr>
      <w:r>
        <w:rPr>
          <w:rFonts w:ascii="Arial" w:eastAsia="Arial" w:hAnsi="Arial" w:cs="Arial"/>
          <w:b/>
          <w:sz w:val="24"/>
        </w:rPr>
        <w:t>14.- Expediente 5875/2021. Moción del Grupo Mixto con registro de entrada de fecha 15 de junio de 2021 para el desamiantado del m</w:t>
      </w:r>
      <w:r>
        <w:rPr>
          <w:rFonts w:ascii="Arial" w:eastAsia="Arial" w:hAnsi="Arial" w:cs="Arial"/>
          <w:b/>
          <w:sz w:val="24"/>
        </w:rPr>
        <w:t>unicipio de Candelaria.</w:t>
      </w:r>
      <w:r>
        <w:rPr>
          <w:rFonts w:ascii="Arial" w:eastAsia="Arial" w:hAnsi="Arial" w:cs="Arial"/>
        </w:rPr>
        <w:t xml:space="preserve"> </w:t>
      </w:r>
    </w:p>
    <w:p w:rsidR="00FA7413" w:rsidRDefault="00D712A8">
      <w:pPr>
        <w:spacing w:after="98"/>
        <w:ind w:left="360"/>
      </w:pPr>
      <w:r>
        <w:rPr>
          <w:rFonts w:ascii="Arial" w:eastAsia="Arial" w:hAnsi="Arial" w:cs="Arial"/>
          <w:b/>
        </w:rPr>
        <w:t xml:space="preserve"> </w:t>
      </w:r>
    </w:p>
    <w:p w:rsidR="00FA7413" w:rsidRDefault="00D712A8">
      <w:pPr>
        <w:spacing w:after="98"/>
        <w:ind w:left="360"/>
      </w:pPr>
      <w:r>
        <w:rPr>
          <w:rFonts w:ascii="Arial" w:eastAsia="Arial" w:hAnsi="Arial" w:cs="Arial"/>
          <w:b/>
        </w:rPr>
        <w:t xml:space="preserve"> </w:t>
      </w:r>
    </w:p>
    <w:p w:rsidR="00FA7413" w:rsidRDefault="00D712A8">
      <w:pPr>
        <w:spacing w:after="11" w:line="248" w:lineRule="auto"/>
        <w:ind w:left="355" w:right="62" w:hanging="10"/>
        <w:jc w:val="both"/>
      </w:pPr>
      <w:r>
        <w:rPr>
          <w:rFonts w:ascii="Arial" w:eastAsia="Arial" w:hAnsi="Arial" w:cs="Arial"/>
          <w:b/>
        </w:rPr>
        <w:t xml:space="preserve">Consta en el expediente electrónico la referida moción que se inserta literalmente: </w:t>
      </w:r>
    </w:p>
    <w:p w:rsidR="00FA7413" w:rsidRDefault="00D712A8">
      <w:pPr>
        <w:spacing w:after="98"/>
        <w:ind w:left="360"/>
      </w:pPr>
      <w:r>
        <w:rPr>
          <w:rFonts w:ascii="Arial" w:eastAsia="Arial" w:hAnsi="Arial" w:cs="Arial"/>
          <w:b/>
        </w:rPr>
        <w:t xml:space="preserve"> </w:t>
      </w:r>
    </w:p>
    <w:p w:rsidR="00FA7413" w:rsidRDefault="00D712A8">
      <w:pPr>
        <w:spacing w:after="97"/>
        <w:ind w:left="360"/>
      </w:pPr>
      <w:r>
        <w:rPr>
          <w:rFonts w:ascii="Arial" w:eastAsia="Arial" w:hAnsi="Arial" w:cs="Arial"/>
          <w:b/>
        </w:rPr>
        <w:t xml:space="preserve"> </w:t>
      </w:r>
    </w:p>
    <w:p w:rsidR="00FA7413" w:rsidRDefault="00D712A8">
      <w:pPr>
        <w:spacing w:after="81"/>
        <w:ind w:right="1080"/>
        <w:jc w:val="right"/>
      </w:pPr>
      <w:r>
        <w:rPr>
          <w:noProof/>
        </w:rPr>
        <w:drawing>
          <wp:inline distT="0" distB="0" distL="0" distR="0">
            <wp:extent cx="5391974" cy="1301391"/>
            <wp:effectExtent l="0" t="0" r="0" b="0"/>
            <wp:docPr id="15432" name="Picture 15432"/>
            <wp:cNvGraphicFramePr/>
            <a:graphic xmlns:a="http://schemas.openxmlformats.org/drawingml/2006/main">
              <a:graphicData uri="http://schemas.openxmlformats.org/drawingml/2006/picture">
                <pic:pic xmlns:pic="http://schemas.openxmlformats.org/drawingml/2006/picture">
                  <pic:nvPicPr>
                    <pic:cNvPr id="15432" name="Picture 15432"/>
                    <pic:cNvPicPr/>
                  </pic:nvPicPr>
                  <pic:blipFill>
                    <a:blip r:embed="rId22"/>
                    <a:stretch>
                      <a:fillRect/>
                    </a:stretch>
                  </pic:blipFill>
                  <pic:spPr>
                    <a:xfrm>
                      <a:off x="0" y="0"/>
                      <a:ext cx="5391974" cy="1301391"/>
                    </a:xfrm>
                    <a:prstGeom prst="rect">
                      <a:avLst/>
                    </a:prstGeom>
                  </pic:spPr>
                </pic:pic>
              </a:graphicData>
            </a:graphic>
          </wp:inline>
        </w:drawing>
      </w:r>
      <w:r>
        <w:rPr>
          <w:rFonts w:ascii="Arial" w:eastAsia="Arial" w:hAnsi="Arial" w:cs="Arial"/>
        </w:rPr>
        <w:t xml:space="preserve"> </w:t>
      </w:r>
    </w:p>
    <w:p w:rsidR="00FA7413" w:rsidRDefault="00D712A8">
      <w:pPr>
        <w:pBdr>
          <w:top w:val="single" w:sz="4" w:space="0" w:color="000000"/>
          <w:left w:val="single" w:sz="4" w:space="0" w:color="000000"/>
          <w:bottom w:val="single" w:sz="4" w:space="0" w:color="000000"/>
          <w:right w:val="single" w:sz="4" w:space="0" w:color="000000"/>
        </w:pBdr>
        <w:spacing w:after="376"/>
        <w:ind w:left="473"/>
      </w:pPr>
      <w:r>
        <w:rPr>
          <w:rFonts w:ascii="Arial" w:eastAsia="Arial" w:hAnsi="Arial" w:cs="Arial"/>
          <w:b/>
        </w:rPr>
        <w:t>Moción para el desamiantado del Municipio de Candelaria</w:t>
      </w:r>
      <w:r>
        <w:rPr>
          <w:rFonts w:ascii="Arial" w:eastAsia="Arial" w:hAnsi="Arial" w:cs="Arial"/>
          <w:sz w:val="24"/>
        </w:rPr>
        <w:t xml:space="preserve"> </w:t>
      </w:r>
    </w:p>
    <w:p w:rsidR="00FA7413" w:rsidRDefault="00D712A8">
      <w:pPr>
        <w:pBdr>
          <w:top w:val="single" w:sz="4" w:space="0" w:color="000000"/>
          <w:left w:val="single" w:sz="4" w:space="0" w:color="000000"/>
          <w:bottom w:val="single" w:sz="4" w:space="0" w:color="000000"/>
          <w:right w:val="single" w:sz="4" w:space="0" w:color="000000"/>
        </w:pBdr>
        <w:spacing w:after="100"/>
        <w:ind w:left="473"/>
      </w:pPr>
      <w:r>
        <w:rPr>
          <w:rFonts w:ascii="Arial" w:eastAsia="Arial" w:hAnsi="Arial" w:cs="Arial"/>
          <w:b/>
        </w:rPr>
        <w:t xml:space="preserve"> </w:t>
      </w:r>
    </w:p>
    <w:p w:rsidR="00FA7413" w:rsidRDefault="00D712A8">
      <w:pPr>
        <w:pBdr>
          <w:top w:val="single" w:sz="4" w:space="0" w:color="000000"/>
          <w:left w:val="single" w:sz="4" w:space="0" w:color="000000"/>
          <w:bottom w:val="single" w:sz="4" w:space="0" w:color="000000"/>
          <w:right w:val="single" w:sz="4" w:space="0" w:color="000000"/>
        </w:pBdr>
        <w:spacing w:after="107"/>
        <w:ind w:left="473"/>
      </w:pPr>
      <w:r>
        <w:rPr>
          <w:noProof/>
        </w:rPr>
        <mc:AlternateContent>
          <mc:Choice Requires="wpg">
            <w:drawing>
              <wp:anchor distT="0" distB="0" distL="114300" distR="114300" simplePos="0" relativeHeight="251793408"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9144" name="Group 219144"/>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5435" name="Rectangle 15435"/>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5436" name="Rectangle 15436"/>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131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9144" style="width:12.7031pt;height:275.586pt;position:absolute;mso-position-horizontal-relative:page;mso-position-horizontal:absolute;margin-left:682.278pt;mso-position-vertical-relative:page;margin-top:536.334pt;" coordsize="1613,34999">
                <v:rect id="Rectangle 15435"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5436"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131 de 180 </w:t>
                        </w:r>
                      </w:p>
                    </w:txbxContent>
                  </v:textbox>
                </v:rect>
                <w10:wrap type="square"/>
              </v:group>
            </w:pict>
          </mc:Fallback>
        </mc:AlternateContent>
      </w:r>
      <w:r>
        <w:rPr>
          <w:rFonts w:ascii="Arial" w:eastAsia="Arial" w:hAnsi="Arial" w:cs="Arial"/>
          <w:b/>
        </w:rPr>
        <w:t xml:space="preserve"> </w:t>
      </w:r>
    </w:p>
    <w:p w:rsidR="00FA7413" w:rsidRDefault="00D712A8">
      <w:pPr>
        <w:spacing w:after="100"/>
        <w:ind w:left="360"/>
      </w:pPr>
      <w:r>
        <w:rPr>
          <w:rFonts w:ascii="Arial" w:eastAsia="Arial" w:hAnsi="Arial" w:cs="Arial"/>
          <w:b/>
        </w:rPr>
        <w:t xml:space="preserve"> </w:t>
      </w:r>
    </w:p>
    <w:p w:rsidR="00FA7413" w:rsidRDefault="00D712A8">
      <w:pPr>
        <w:spacing w:after="0"/>
        <w:ind w:left="360"/>
      </w:pPr>
      <w:r>
        <w:rPr>
          <w:rFonts w:ascii="Arial" w:eastAsia="Arial" w:hAnsi="Arial" w:cs="Arial"/>
        </w:rPr>
        <w:t xml:space="preserve"> </w:t>
      </w:r>
    </w:p>
    <w:p w:rsidR="00FA7413" w:rsidRDefault="00D712A8">
      <w:pPr>
        <w:spacing w:after="395"/>
        <w:ind w:left="471"/>
      </w:pPr>
      <w:r>
        <w:rPr>
          <w:rFonts w:ascii="Arial" w:eastAsia="Arial" w:hAnsi="Arial" w:cs="Arial"/>
        </w:rPr>
        <w:t xml:space="preserve"> </w:t>
      </w:r>
    </w:p>
    <w:p w:rsidR="00FA7413" w:rsidRDefault="00D712A8">
      <w:pPr>
        <w:spacing w:after="139"/>
        <w:ind w:left="360"/>
      </w:pPr>
      <w:r>
        <w:rPr>
          <w:rFonts w:ascii="Arial" w:eastAsia="Arial" w:hAnsi="Arial" w:cs="Arial"/>
          <w:b/>
        </w:rPr>
        <w:t xml:space="preserve"> </w:t>
      </w:r>
    </w:p>
    <w:p w:rsidR="00FA7413" w:rsidRDefault="00D712A8">
      <w:pPr>
        <w:spacing w:after="109" w:line="248" w:lineRule="auto"/>
        <w:ind w:left="355" w:right="64" w:hanging="10"/>
        <w:jc w:val="both"/>
      </w:pPr>
      <w:r>
        <w:rPr>
          <w:rFonts w:ascii="Arial" w:eastAsia="Arial" w:hAnsi="Arial" w:cs="Arial"/>
        </w:rPr>
        <w:t xml:space="preserve">   </w:t>
      </w:r>
      <w:r>
        <w:rPr>
          <w:rFonts w:ascii="Arial" w:eastAsia="Arial" w:hAnsi="Arial" w:cs="Arial"/>
        </w:rPr>
        <w:t xml:space="preserve">“Lourdes del Carmen Mondéjar Rondón, Concejala y Portavoz del Grupo Municipal Mixto y del Partido </w:t>
      </w:r>
      <w:r>
        <w:rPr>
          <w:rFonts w:ascii="Arial" w:eastAsia="Arial" w:hAnsi="Arial" w:cs="Arial"/>
          <w:i/>
        </w:rPr>
        <w:t xml:space="preserve">Sí se puede </w:t>
      </w:r>
      <w:r>
        <w:rPr>
          <w:rFonts w:ascii="Arial" w:eastAsia="Arial" w:hAnsi="Arial" w:cs="Arial"/>
        </w:rPr>
        <w:t xml:space="preserve">en Candelaria </w:t>
      </w:r>
      <w:r>
        <w:rPr>
          <w:rFonts w:ascii="Arial" w:eastAsia="Arial" w:hAnsi="Arial" w:cs="Arial"/>
          <w:i/>
        </w:rPr>
        <w:t xml:space="preserve">con CIF: </w:t>
      </w:r>
      <w:r>
        <w:rPr>
          <w:rFonts w:ascii="Arial" w:eastAsia="Arial" w:hAnsi="Arial" w:cs="Arial"/>
        </w:rPr>
        <w:t>V 76683143, en uso de las atribuciones que le confiere el Reglamento Orgánico del Gobierno y de la Administración Municipal</w:t>
      </w:r>
      <w:r>
        <w:rPr>
          <w:rFonts w:ascii="Arial" w:eastAsia="Arial" w:hAnsi="Arial" w:cs="Arial"/>
        </w:rPr>
        <w:t xml:space="preserve">, presenta al Pleno del Ilustre Ayuntamiento de Candelaria la presente MOCIÓN para su debate y aprobación si procede, de acuerdo con la siguiente </w:t>
      </w:r>
    </w:p>
    <w:p w:rsidR="00FA7413" w:rsidRDefault="00D712A8">
      <w:pPr>
        <w:spacing w:after="98"/>
        <w:ind w:left="360"/>
      </w:pPr>
      <w:r>
        <w:rPr>
          <w:rFonts w:ascii="Arial" w:eastAsia="Arial" w:hAnsi="Arial" w:cs="Arial"/>
          <w:b/>
        </w:rPr>
        <w:t xml:space="preserve"> </w:t>
      </w:r>
    </w:p>
    <w:p w:rsidR="00FA7413" w:rsidRDefault="00D712A8">
      <w:pPr>
        <w:spacing w:after="0"/>
        <w:ind w:left="1013" w:right="718" w:hanging="10"/>
        <w:jc w:val="center"/>
      </w:pPr>
      <w:r>
        <w:rPr>
          <w:rFonts w:ascii="Arial" w:eastAsia="Arial" w:hAnsi="Arial" w:cs="Arial"/>
          <w:b/>
        </w:rPr>
        <w:t xml:space="preserve">EXPOSICIÓN DE MOTIVOS: </w:t>
      </w:r>
    </w:p>
    <w:p w:rsidR="00FA7413" w:rsidRDefault="00D712A8">
      <w:pPr>
        <w:spacing w:after="0"/>
        <w:ind w:left="346"/>
        <w:jc w:val="center"/>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Nos encontramos iniciando la tercera década de este siglo, primero, con una Agend</w:t>
      </w:r>
      <w:r>
        <w:rPr>
          <w:rFonts w:ascii="Arial" w:eastAsia="Arial" w:hAnsi="Arial" w:cs="Arial"/>
        </w:rPr>
        <w:t>a 2030, hacia cuyos ODS se deben orientar las acciones y políticas de las instituciones; segundo, con una emergencia climática, sobre la que no podemos posponer los compromisos del Pacto de las Alcaldías para el Clima y la Energía, máxime teniendo presente</w:t>
      </w:r>
      <w:r>
        <w:rPr>
          <w:rFonts w:ascii="Arial" w:eastAsia="Arial" w:hAnsi="Arial" w:cs="Arial"/>
        </w:rPr>
        <w:t xml:space="preserve"> la reciente aprobación por el Congreso de los Diputados de la Ley o del Proyecto de Ley de Cambio climático y transición energética; y tercero, asistimos a una emergencia sanitaria igualmente global a la que hacer frente.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Desde la década de los años 6</w:t>
      </w:r>
      <w:r>
        <w:rPr>
          <w:rFonts w:ascii="Arial" w:eastAsia="Arial" w:hAnsi="Arial" w:cs="Arial"/>
        </w:rPr>
        <w:t>0 el crecimiento demográfico en España vino acompañado de un crecimiento urbanístico sin precedentes, que no tuvo más planificación que los Planes de Desarrollo de la época tardo franquista, sin previsión ni celo por su impacto medioambiental ni en la salu</w:t>
      </w:r>
      <w:r>
        <w:rPr>
          <w:rFonts w:ascii="Arial" w:eastAsia="Arial" w:hAnsi="Arial" w:cs="Arial"/>
        </w:rPr>
        <w:t xml:space="preserve">d, y con el único objetivo de un crecimiento económico a partir de la economía del ladrillo. </w:t>
      </w:r>
    </w:p>
    <w:p w:rsidR="00FA7413" w:rsidRDefault="00D712A8">
      <w:pPr>
        <w:spacing w:after="0"/>
        <w:ind w:left="360"/>
      </w:pPr>
      <w:r>
        <w:rPr>
          <w:rFonts w:ascii="Arial" w:eastAsia="Arial" w:hAnsi="Arial" w:cs="Arial"/>
        </w:rPr>
        <w:t xml:space="preserve">  </w:t>
      </w:r>
    </w:p>
    <w:p w:rsidR="00FA7413" w:rsidRDefault="00D712A8">
      <w:pPr>
        <w:spacing w:after="109" w:line="248" w:lineRule="auto"/>
        <w:ind w:left="355" w:right="64" w:hanging="10"/>
        <w:jc w:val="both"/>
      </w:pPr>
      <w:r>
        <w:rPr>
          <w:rFonts w:ascii="Arial" w:eastAsia="Arial" w:hAnsi="Arial" w:cs="Arial"/>
        </w:rPr>
        <w:t>En el Estado español, aparejado a la vertiginosa construcción vino la utilización creciente de un material que, por sus cualidades altamente resistentes y dura</w:t>
      </w:r>
      <w:r>
        <w:rPr>
          <w:rFonts w:ascii="Arial" w:eastAsia="Arial" w:hAnsi="Arial" w:cs="Arial"/>
        </w:rPr>
        <w:t xml:space="preserve">deras, el amianto, se implantó en esa década y posteriores, hasta que en 2002 se prohibió su utilización por perniciosa para la salud. </w:t>
      </w:r>
    </w:p>
    <w:p w:rsidR="00FA7413" w:rsidRDefault="00D712A8">
      <w:pPr>
        <w:spacing w:after="112"/>
        <w:ind w:left="360"/>
      </w:pPr>
      <w:r>
        <w:rPr>
          <w:rFonts w:ascii="Arial" w:eastAsia="Arial" w:hAnsi="Arial" w:cs="Arial"/>
        </w:rPr>
        <w:t xml:space="preserve"> </w:t>
      </w:r>
    </w:p>
    <w:p w:rsidR="00FA7413" w:rsidRDefault="00D712A8">
      <w:pPr>
        <w:spacing w:after="11" w:line="248" w:lineRule="auto"/>
        <w:ind w:left="355" w:right="62" w:hanging="10"/>
        <w:jc w:val="both"/>
      </w:pPr>
      <w:r>
        <w:rPr>
          <w:rFonts w:ascii="Arial" w:eastAsia="Arial" w:hAnsi="Arial" w:cs="Arial"/>
          <w:b/>
        </w:rPr>
        <w:t xml:space="preserve">El amianto </w:t>
      </w:r>
      <w:r>
        <w:rPr>
          <w:rFonts w:ascii="Arial" w:eastAsia="Arial" w:hAnsi="Arial" w:cs="Arial"/>
          <w:sz w:val="24"/>
        </w:rPr>
        <w:t xml:space="preserve"> </w:t>
      </w:r>
    </w:p>
    <w:p w:rsidR="00FA7413" w:rsidRDefault="00D712A8">
      <w:pPr>
        <w:spacing w:after="109" w:line="248" w:lineRule="auto"/>
        <w:ind w:left="355" w:right="64" w:hanging="10"/>
        <w:jc w:val="both"/>
      </w:pPr>
      <w:r>
        <w:rPr>
          <w:rFonts w:ascii="Arial" w:eastAsia="Arial" w:hAnsi="Arial" w:cs="Arial"/>
        </w:rPr>
        <w:t>Es un mineral conocido desde la antigüedad, que entre otras propiedades se puede decir que es indestructible. Es aislante térmico, acústico o eléctrico; resistente al fuego y tiene una elevada resistencia mecánica a rozamientos y todo tipo de esfuerzos y t</w:t>
      </w:r>
      <w:r>
        <w:rPr>
          <w:rFonts w:ascii="Arial" w:eastAsia="Arial" w:hAnsi="Arial" w:cs="Arial"/>
        </w:rPr>
        <w:t>ensiones, así como resistencia química a compuestos ácidos y básicos y en algunas variedades es flexible. Es invisible, incoloro, inodoro e insípido. Ha sido utilizado en la elaboración de multitud de materiales de construcción y en la industria en general</w:t>
      </w:r>
      <w:r>
        <w:rPr>
          <w:rFonts w:ascii="Arial" w:eastAsia="Arial" w:hAnsi="Arial" w:cs="Arial"/>
        </w:rPr>
        <w:t xml:space="preserve"> por todo el mundo. </w:t>
      </w:r>
    </w:p>
    <w:p w:rsidR="00FA7413" w:rsidRDefault="00D712A8">
      <w:pPr>
        <w:spacing w:after="98"/>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Se encuentra en tuberías, desagües, cubiertas de uralita, bidones, planchas, tabiques fluviales, chimeneas, canales, bajantes, depósitos, macetas o jardineras y objetos similares. El microcemento de amianto se ha utilizado en varieda</w:t>
      </w:r>
      <w:r>
        <w:rPr>
          <w:rFonts w:ascii="Arial" w:eastAsia="Arial" w:hAnsi="Arial" w:cs="Arial"/>
        </w:rPr>
        <w:t xml:space="preserve">d de edificaciones.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4" w:hanging="10"/>
        <w:jc w:val="both"/>
      </w:pPr>
      <w:r>
        <w:rPr>
          <w:noProof/>
        </w:rPr>
        <mc:AlternateContent>
          <mc:Choice Requires="wpg">
            <w:drawing>
              <wp:anchor distT="0" distB="0" distL="114300" distR="114300" simplePos="0" relativeHeight="251794432"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19711" name="Group 219711"/>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5539" name="Rectangle 15539"/>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5540" name="Rectangle 15540"/>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132 de 180 </w:t>
                              </w:r>
                            </w:p>
                          </w:txbxContent>
                        </wps:txbx>
                        <wps:bodyPr horzOverflow="overflow" vert="horz" lIns="0" tIns="0" rIns="0" bIns="0" rtlCol="0">
                          <a:noAutofit/>
                        </wps:bodyPr>
                      </wps:wsp>
                    </wpg:wgp>
                  </a:graphicData>
                </a:graphic>
              </wp:anchor>
            </w:drawing>
          </mc:Choice>
          <mc:Fallback xmlns:a="http://schemas.openxmlformats.org/drawingml/2006/main">
            <w:pict>
              <v:group id="Group 219711" style="width:12.7031pt;height:275.586pt;position:absolute;mso-position-horizontal-relative:page;mso-position-horizontal:absolute;margin-left:682.278pt;mso-position-vertical-relative:page;margin-top:536.334pt;" coordsize="1613,34999">
                <v:rect id="Rectangle 15539"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5540"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132 de 180 </w:t>
                        </w:r>
                      </w:p>
                    </w:txbxContent>
                  </v:textbox>
                </v:rect>
                <w10:wrap type="square"/>
              </v:group>
            </w:pict>
          </mc:Fallback>
        </mc:AlternateContent>
      </w:r>
      <w:r>
        <w:rPr>
          <w:rFonts w:ascii="Arial" w:eastAsia="Arial" w:hAnsi="Arial" w:cs="Arial"/>
        </w:rPr>
        <w:t>Se trata de una sustancia peligros</w:t>
      </w:r>
      <w:r>
        <w:rPr>
          <w:rFonts w:ascii="Arial" w:eastAsia="Arial" w:hAnsi="Arial" w:cs="Arial"/>
        </w:rPr>
        <w:t xml:space="preserve">a, es un agente cancerígeno, cuya peligrosidad se circunscribe únicamente, según unos informes, al momento en el que es manipulado, pues al partirse desprende microfibras que no deben ser respiradas. Su vida útil, se estima en 20 años, (aunque también hay </w:t>
      </w:r>
      <w:r>
        <w:rPr>
          <w:rFonts w:ascii="Arial" w:eastAsia="Arial" w:hAnsi="Arial" w:cs="Arial"/>
        </w:rPr>
        <w:t xml:space="preserve">quienes la extienden más tiempo). Es ubicuo y por su tamaño y liviandad puede quedar suspendida en el aire o en el agua y trasladarse aleatoriamente. </w:t>
      </w:r>
    </w:p>
    <w:p w:rsidR="00FA7413" w:rsidRDefault="00D712A8">
      <w:pPr>
        <w:spacing w:after="0"/>
        <w:ind w:left="360"/>
      </w:pPr>
      <w:r>
        <w:rPr>
          <w:rFonts w:ascii="Arial" w:eastAsia="Arial" w:hAnsi="Arial" w:cs="Arial"/>
        </w:rPr>
        <w:t xml:space="preserve"> </w:t>
      </w:r>
    </w:p>
    <w:p w:rsidR="00FA7413" w:rsidRDefault="00D712A8">
      <w:pPr>
        <w:spacing w:after="109" w:line="248" w:lineRule="auto"/>
        <w:ind w:left="355" w:right="64" w:hanging="10"/>
        <w:jc w:val="both"/>
      </w:pPr>
      <w:r>
        <w:rPr>
          <w:rFonts w:ascii="Arial" w:eastAsia="Arial" w:hAnsi="Arial" w:cs="Arial"/>
        </w:rPr>
        <w:t xml:space="preserve">Lo anterior ha motivado un amplio desarrollo legislativo del que destacamos lo siguiente: </w:t>
      </w:r>
    </w:p>
    <w:p w:rsidR="00FA7413" w:rsidRDefault="00D712A8">
      <w:pPr>
        <w:spacing w:after="98"/>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 xml:space="preserve">En el Estado español el amianto se prohibió en su totalidad en 2002 y en toda Europa en el 2005. No obstante, la legislación vigente permite el amianto ya instalado, hasta el final de su vida útil.  </w:t>
      </w:r>
    </w:p>
    <w:p w:rsidR="00FA7413" w:rsidRDefault="00D712A8">
      <w:pPr>
        <w:spacing w:after="0"/>
        <w:ind w:left="360"/>
      </w:pPr>
      <w:r>
        <w:rPr>
          <w:rFonts w:ascii="Arial" w:eastAsia="Arial" w:hAnsi="Arial" w:cs="Arial"/>
        </w:rPr>
        <w:t xml:space="preserve"> </w:t>
      </w:r>
    </w:p>
    <w:p w:rsidR="00FA7413" w:rsidRDefault="00D712A8">
      <w:pPr>
        <w:spacing w:after="109" w:line="248" w:lineRule="auto"/>
        <w:ind w:left="355" w:right="64" w:hanging="10"/>
        <w:jc w:val="both"/>
      </w:pPr>
      <w:r>
        <w:rPr>
          <w:rFonts w:ascii="Arial" w:eastAsia="Arial" w:hAnsi="Arial" w:cs="Arial"/>
        </w:rPr>
        <w:t>En España la utilización y comercialización del amiant</w:t>
      </w:r>
      <w:r>
        <w:rPr>
          <w:rFonts w:ascii="Arial" w:eastAsia="Arial" w:hAnsi="Arial" w:cs="Arial"/>
        </w:rPr>
        <w:t xml:space="preserve">o está prohibida desde 2002 tras la </w:t>
      </w:r>
      <w:r>
        <w:rPr>
          <w:rFonts w:ascii="Arial" w:eastAsia="Arial" w:hAnsi="Arial" w:cs="Arial"/>
          <w:b/>
        </w:rPr>
        <w:t xml:space="preserve">Orden ministerial del 7 de diciembre de 2001 </w:t>
      </w:r>
      <w:r>
        <w:rPr>
          <w:rFonts w:ascii="Arial" w:eastAsia="Arial" w:hAnsi="Arial" w:cs="Arial"/>
        </w:rPr>
        <w:t xml:space="preserve">por la que se modifica el anexo I del </w:t>
      </w:r>
      <w:r>
        <w:rPr>
          <w:rFonts w:ascii="Arial" w:eastAsia="Arial" w:hAnsi="Arial" w:cs="Arial"/>
          <w:b/>
        </w:rPr>
        <w:t>Real Decreto 1406/1989, de 10 de noviembre</w:t>
      </w:r>
      <w:r>
        <w:rPr>
          <w:rFonts w:ascii="Arial" w:eastAsia="Arial" w:hAnsi="Arial" w:cs="Arial"/>
        </w:rPr>
        <w:t>, sobre limitaciones a la comercialización y al uso de ciertas sustancias y preparados peligros</w:t>
      </w:r>
      <w:r>
        <w:rPr>
          <w:rFonts w:ascii="Arial" w:eastAsia="Arial" w:hAnsi="Arial" w:cs="Arial"/>
        </w:rPr>
        <w:t xml:space="preserve">os, luego existen muchos edificios y elementos industriales construidos en fechas anteriores. En junio y diciembre de 2002 entraban en vigor respectivamente, la prohibición de fabricar productos que contengan amianto y de comercializarlo e instalarlo. </w:t>
      </w:r>
    </w:p>
    <w:p w:rsidR="00FA7413" w:rsidRDefault="00D712A8">
      <w:pPr>
        <w:spacing w:after="95"/>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 xml:space="preserve">Por otra parte, el </w:t>
      </w:r>
      <w:r>
        <w:rPr>
          <w:rFonts w:ascii="Arial" w:eastAsia="Arial" w:hAnsi="Arial" w:cs="Arial"/>
          <w:b/>
        </w:rPr>
        <w:t>Real Decreto 396/2006</w:t>
      </w:r>
      <w:r>
        <w:rPr>
          <w:rFonts w:ascii="Arial" w:eastAsia="Arial" w:hAnsi="Arial" w:cs="Arial"/>
        </w:rPr>
        <w:t>, de 31 de marzo, establece las disposiciones mínimas de seguridad y salud aplicables a los trabajos con riesgo de exposición al amianto. (BOE Nº 086, de 11.4.2006).</w:t>
      </w:r>
      <w:r>
        <w:rPr>
          <w:rFonts w:ascii="Arial" w:eastAsia="Arial" w:hAnsi="Arial" w:cs="Arial"/>
          <w:sz w:val="24"/>
        </w:rPr>
        <w:t xml:space="preserve">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 xml:space="preserve">En cuanto al </w:t>
      </w:r>
      <w:r>
        <w:rPr>
          <w:rFonts w:ascii="Arial" w:eastAsia="Arial" w:hAnsi="Arial" w:cs="Arial"/>
          <w:b/>
        </w:rPr>
        <w:t>Parlamento Europeo</w:t>
      </w:r>
      <w:r>
        <w:rPr>
          <w:rFonts w:ascii="Arial" w:eastAsia="Arial" w:hAnsi="Arial" w:cs="Arial"/>
        </w:rPr>
        <w:t>, en 2013 se ap</w:t>
      </w:r>
      <w:r>
        <w:rPr>
          <w:rFonts w:ascii="Arial" w:eastAsia="Arial" w:hAnsi="Arial" w:cs="Arial"/>
        </w:rPr>
        <w:t>rueba una resolución instando a la UE a "supervisar la presencia de amianto en edificios públicos y privados" y a crear "planes de acción para su eliminación segura" antes del año 2028, así como a realizar un registro de edificios que contienen amianto.</w:t>
      </w:r>
      <w:r>
        <w:rPr>
          <w:rFonts w:ascii="Arial" w:eastAsia="Arial" w:hAnsi="Arial" w:cs="Arial"/>
          <w:sz w:val="24"/>
        </w:rPr>
        <w:t xml:space="preserve"> </w:t>
      </w:r>
    </w:p>
    <w:p w:rsidR="00FA7413" w:rsidRDefault="00D712A8">
      <w:pPr>
        <w:spacing w:after="0"/>
        <w:ind w:left="360"/>
      </w:pPr>
      <w:r>
        <w:rPr>
          <w:rFonts w:ascii="Arial" w:eastAsia="Arial" w:hAnsi="Arial" w:cs="Arial"/>
        </w:rPr>
        <w:t xml:space="preserve"> </w:t>
      </w:r>
      <w:r>
        <w:rPr>
          <w:rFonts w:ascii="Arial" w:eastAsia="Arial" w:hAnsi="Arial" w:cs="Arial"/>
        </w:rPr>
        <w:t xml:space="preserve"> </w:t>
      </w:r>
    </w:p>
    <w:p w:rsidR="00FA7413" w:rsidRDefault="00D712A8">
      <w:pPr>
        <w:spacing w:after="109" w:line="248" w:lineRule="auto"/>
        <w:ind w:left="355" w:right="64" w:hanging="10"/>
        <w:jc w:val="both"/>
      </w:pPr>
      <w:r>
        <w:rPr>
          <w:rFonts w:ascii="Arial" w:eastAsia="Arial" w:hAnsi="Arial" w:cs="Arial"/>
        </w:rPr>
        <w:t xml:space="preserve">Y respecto a su eliminación, el </w:t>
      </w:r>
      <w:r>
        <w:rPr>
          <w:rFonts w:ascii="Arial" w:eastAsia="Arial" w:hAnsi="Arial" w:cs="Arial"/>
          <w:b/>
        </w:rPr>
        <w:t xml:space="preserve">Comité Económico y Social Europeo </w:t>
      </w:r>
      <w:r>
        <w:rPr>
          <w:rFonts w:ascii="Arial" w:eastAsia="Arial" w:hAnsi="Arial" w:cs="Arial"/>
        </w:rPr>
        <w:t>(CESE), aprueba en 2015 un dictamen sobre "la completa eliminación de todo el amianto” e instó a la UE "animar a los Estados miembros a lanzar hojas de ruta y planes de acción específicos"</w:t>
      </w:r>
      <w:r>
        <w:rPr>
          <w:rFonts w:ascii="Arial" w:eastAsia="Arial" w:hAnsi="Arial" w:cs="Arial"/>
        </w:rPr>
        <w:t xml:space="preserve"> para su completa erradicación en el año 2032. </w:t>
      </w:r>
    </w:p>
    <w:p w:rsidR="00FA7413" w:rsidRDefault="00D712A8">
      <w:pPr>
        <w:spacing w:after="110"/>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 xml:space="preserve">En España entre otras CCAA, la </w:t>
      </w:r>
      <w:r>
        <w:rPr>
          <w:rFonts w:ascii="Arial" w:eastAsia="Arial" w:hAnsi="Arial" w:cs="Arial"/>
          <w:b/>
        </w:rPr>
        <w:t>Junta de Andalucía</w:t>
      </w:r>
      <w:r>
        <w:rPr>
          <w:rFonts w:ascii="Arial" w:eastAsia="Arial" w:hAnsi="Arial" w:cs="Arial"/>
        </w:rPr>
        <w:t xml:space="preserve">, a través del “Acuerdo del 5 de </w:t>
      </w:r>
      <w:r>
        <w:rPr>
          <w:rFonts w:ascii="Arial" w:eastAsia="Arial" w:hAnsi="Arial" w:cs="Arial"/>
          <w:b/>
        </w:rPr>
        <w:t xml:space="preserve">julio de 2016, </w:t>
      </w:r>
      <w:r>
        <w:rPr>
          <w:rFonts w:ascii="Arial" w:eastAsia="Arial" w:hAnsi="Arial" w:cs="Arial"/>
        </w:rPr>
        <w:t xml:space="preserve">del Consejo de Gobierno, por el que se aprueba la planificación de la retirada progresiva del amianto en las </w:t>
      </w:r>
      <w:r>
        <w:rPr>
          <w:rFonts w:ascii="Arial" w:eastAsia="Arial" w:hAnsi="Arial" w:cs="Arial"/>
        </w:rPr>
        <w:t>infraestructuras públicas educativas”, ha establecido un plan para erradicar el amianto en los edificios públicos de esta comunidad hasta 2022.</w:t>
      </w:r>
      <w:r>
        <w:rPr>
          <w:rFonts w:ascii="Arial" w:eastAsia="Arial" w:hAnsi="Arial" w:cs="Arial"/>
          <w:sz w:val="24"/>
        </w:rPr>
        <w:t xml:space="preserve">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 xml:space="preserve">El </w:t>
      </w:r>
      <w:r>
        <w:rPr>
          <w:rFonts w:ascii="Arial" w:eastAsia="Arial" w:hAnsi="Arial" w:cs="Arial"/>
          <w:b/>
        </w:rPr>
        <w:t xml:space="preserve">Cabildo de Gran Canaria </w:t>
      </w:r>
      <w:r>
        <w:rPr>
          <w:rFonts w:ascii="Arial" w:eastAsia="Arial" w:hAnsi="Arial" w:cs="Arial"/>
        </w:rPr>
        <w:t>es la primera institución de España en poner en marcha una campaña de retirada de</w:t>
      </w:r>
      <w:r>
        <w:rPr>
          <w:rFonts w:ascii="Arial" w:eastAsia="Arial" w:hAnsi="Arial" w:cs="Arial"/>
        </w:rPr>
        <w:t xml:space="preserve"> amianto de viviendas particulares y de elementos no estructurales, desde la retirada a su gestión como residuo, que durará hasta 2021, con visos de continuidad, con un nuevo censo de edificaciones.</w:t>
      </w:r>
      <w:r>
        <w:rPr>
          <w:rFonts w:ascii="Arial" w:eastAsia="Arial" w:hAnsi="Arial" w:cs="Arial"/>
          <w:sz w:val="24"/>
        </w:rPr>
        <w:t xml:space="preserve">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 xml:space="preserve">La </w:t>
      </w:r>
      <w:r>
        <w:rPr>
          <w:rFonts w:ascii="Arial" w:eastAsia="Arial" w:hAnsi="Arial" w:cs="Arial"/>
          <w:b/>
        </w:rPr>
        <w:t>Consejería de Sostenibilidad del Cabildo de La Gom</w:t>
      </w:r>
      <w:r>
        <w:rPr>
          <w:rFonts w:ascii="Arial" w:eastAsia="Arial" w:hAnsi="Arial" w:cs="Arial"/>
          <w:b/>
        </w:rPr>
        <w:t>era</w:t>
      </w:r>
      <w:r>
        <w:rPr>
          <w:rFonts w:ascii="Arial" w:eastAsia="Arial" w:hAnsi="Arial" w:cs="Arial"/>
        </w:rPr>
        <w:t>, en mayo de 2020 desarrolló una aplicación para la geolocalización en varios de sus municipios del material amianto, así como un Plan de desamiantado de la Isla.</w:t>
      </w:r>
      <w:r>
        <w:rPr>
          <w:rFonts w:ascii="Arial" w:eastAsia="Arial" w:hAnsi="Arial" w:cs="Arial"/>
          <w:sz w:val="24"/>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noProof/>
        </w:rPr>
        <mc:AlternateContent>
          <mc:Choice Requires="wpg">
            <w:drawing>
              <wp:anchor distT="0" distB="0" distL="114300" distR="114300" simplePos="0" relativeHeight="251795456"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20010" name="Group 220010"/>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5663" name="Rectangle 15663"/>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Cód. Validación: 946JAL4TJAGYNDDM76ZM7ZAYZ | Verificación: https://candelaria.sede</w:t>
                              </w:r>
                              <w:r>
                                <w:rPr>
                                  <w:rFonts w:ascii="Arial" w:eastAsia="Arial" w:hAnsi="Arial" w:cs="Arial"/>
                                  <w:sz w:val="12"/>
                                </w:rPr>
                                <w:t xml:space="preserve">lectronica.es/ </w:t>
                              </w:r>
                            </w:p>
                          </w:txbxContent>
                        </wps:txbx>
                        <wps:bodyPr horzOverflow="overflow" vert="horz" lIns="0" tIns="0" rIns="0" bIns="0" rtlCol="0">
                          <a:noAutofit/>
                        </wps:bodyPr>
                      </wps:wsp>
                      <wps:wsp>
                        <wps:cNvPr id="15664" name="Rectangle 15664"/>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133 de 180 </w:t>
                              </w:r>
                            </w:p>
                          </w:txbxContent>
                        </wps:txbx>
                        <wps:bodyPr horzOverflow="overflow" vert="horz" lIns="0" tIns="0" rIns="0" bIns="0" rtlCol="0">
                          <a:noAutofit/>
                        </wps:bodyPr>
                      </wps:wsp>
                    </wpg:wgp>
                  </a:graphicData>
                </a:graphic>
              </wp:anchor>
            </w:drawing>
          </mc:Choice>
          <mc:Fallback xmlns:a="http://schemas.openxmlformats.org/drawingml/2006/main">
            <w:pict>
              <v:group id="Group 220010" style="width:12.7031pt;height:275.586pt;position:absolute;mso-position-horizontal-relative:page;mso-position-horizontal:absolute;margin-left:682.278pt;mso-position-vertical-relative:page;margin-top:536.334pt;" coordsize="1613,34999">
                <v:rect id="Rectangle 15663"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5664"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133 de 180 </w:t>
                        </w:r>
                      </w:p>
                    </w:txbxContent>
                  </v:textbox>
                </v:rect>
                <w10:wrap type="square"/>
              </v:group>
            </w:pict>
          </mc:Fallback>
        </mc:AlternateContent>
      </w:r>
      <w:r>
        <w:rPr>
          <w:rFonts w:ascii="Arial" w:eastAsia="Arial" w:hAnsi="Arial" w:cs="Arial"/>
        </w:rPr>
        <w:t xml:space="preserve">Municipios: </w:t>
      </w:r>
    </w:p>
    <w:p w:rsidR="00FA7413" w:rsidRDefault="00D712A8">
      <w:pPr>
        <w:spacing w:after="95"/>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 xml:space="preserve">El </w:t>
      </w:r>
      <w:r>
        <w:rPr>
          <w:rFonts w:ascii="Arial" w:eastAsia="Arial" w:hAnsi="Arial" w:cs="Arial"/>
          <w:b/>
        </w:rPr>
        <w:t xml:space="preserve">Ayuntamiento de Vallehermoso </w:t>
      </w:r>
      <w:r>
        <w:rPr>
          <w:rFonts w:ascii="Arial" w:eastAsia="Arial" w:hAnsi="Arial" w:cs="Arial"/>
        </w:rPr>
        <w:t>en, junio de 2020, aprobó una moción para la retirada de amianto.</w:t>
      </w:r>
      <w:r>
        <w:rPr>
          <w:rFonts w:ascii="Arial" w:eastAsia="Arial" w:hAnsi="Arial" w:cs="Arial"/>
          <w:sz w:val="24"/>
        </w:rPr>
        <w:t xml:space="preserve"> </w:t>
      </w:r>
    </w:p>
    <w:p w:rsidR="00FA7413" w:rsidRDefault="00D712A8">
      <w:pPr>
        <w:spacing w:after="0"/>
        <w:ind w:left="360"/>
      </w:pPr>
      <w:r>
        <w:rPr>
          <w:rFonts w:ascii="Arial" w:eastAsia="Arial" w:hAnsi="Arial" w:cs="Arial"/>
        </w:rPr>
        <w:t xml:space="preserve">  </w:t>
      </w:r>
    </w:p>
    <w:p w:rsidR="00FA7413" w:rsidRDefault="00D712A8">
      <w:pPr>
        <w:spacing w:after="6" w:line="248" w:lineRule="auto"/>
        <w:ind w:left="355" w:right="64" w:hanging="10"/>
        <w:jc w:val="both"/>
      </w:pPr>
      <w:r>
        <w:rPr>
          <w:rFonts w:ascii="Arial" w:eastAsia="Arial" w:hAnsi="Arial" w:cs="Arial"/>
        </w:rPr>
        <w:t xml:space="preserve">En el </w:t>
      </w:r>
      <w:r>
        <w:rPr>
          <w:rFonts w:ascii="Arial" w:eastAsia="Arial" w:hAnsi="Arial" w:cs="Arial"/>
          <w:b/>
        </w:rPr>
        <w:t xml:space="preserve">municipio de Telde </w:t>
      </w:r>
      <w:r>
        <w:rPr>
          <w:rFonts w:ascii="Arial" w:eastAsia="Arial" w:hAnsi="Arial" w:cs="Arial"/>
        </w:rPr>
        <w:t>en 2016 se realizó una campaña por la que se retiraron 6 toneladas de amianto y en abril de 2018 SSP presentó una moción para el desamiantado, para retirar “el amianto que no ha salido de nuestras vidas”, en palabras de su concejal.</w:t>
      </w:r>
      <w:r>
        <w:rPr>
          <w:rFonts w:ascii="Arial" w:eastAsia="Arial" w:hAnsi="Arial" w:cs="Arial"/>
          <w:sz w:val="24"/>
        </w:rPr>
        <w:t xml:space="preserve">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En cuanto a Canaria</w:t>
      </w:r>
      <w:r>
        <w:rPr>
          <w:rFonts w:ascii="Arial" w:eastAsia="Arial" w:hAnsi="Arial" w:cs="Arial"/>
        </w:rPr>
        <w:t xml:space="preserve">s, la </w:t>
      </w:r>
      <w:r>
        <w:rPr>
          <w:rFonts w:ascii="Arial" w:eastAsia="Arial" w:hAnsi="Arial" w:cs="Arial"/>
          <w:b/>
        </w:rPr>
        <w:t xml:space="preserve">Consejería de Educación </w:t>
      </w:r>
      <w:r>
        <w:rPr>
          <w:rFonts w:ascii="Arial" w:eastAsia="Arial" w:hAnsi="Arial" w:cs="Arial"/>
        </w:rPr>
        <w:t>es la única que está realizando un estudio sobre este material en alguna de sus instalaciones educativas.</w:t>
      </w:r>
      <w:r>
        <w:rPr>
          <w:rFonts w:ascii="Arial" w:eastAsia="Arial" w:hAnsi="Arial" w:cs="Arial"/>
          <w:sz w:val="24"/>
        </w:rPr>
        <w:t xml:space="preserve">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Por otra parte, existe un amplio desarrollo normativo en materia de prevención de riesgos laborales de quienes traba</w:t>
      </w:r>
      <w:r>
        <w:rPr>
          <w:rFonts w:ascii="Arial" w:eastAsia="Arial" w:hAnsi="Arial" w:cs="Arial"/>
        </w:rPr>
        <w:t xml:space="preserve">jan en contacto con el amianto o bien sus labores consisten en la recogida y tratamiento del mismo. Un ejemplo de ello, lo encontramos en el trabajo de la Federación de Enseñanza de CCOO, como lo muestra su bibliografía.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color w:val="0000FF"/>
          <w:u w:val="single" w:color="0000FF"/>
        </w:rPr>
        <w:t>https://educarsinamianto.fe.cco</w:t>
      </w:r>
      <w:r>
        <w:rPr>
          <w:rFonts w:ascii="Arial" w:eastAsia="Arial" w:hAnsi="Arial" w:cs="Arial"/>
          <w:color w:val="0000FF"/>
          <w:u w:val="single" w:color="0000FF"/>
        </w:rPr>
        <w:t>o.es/legislacion/notas-tecnicas-sobre-el-amianto.html</w:t>
      </w:r>
      <w:r>
        <w:rPr>
          <w:rFonts w:ascii="Arial" w:eastAsia="Arial" w:hAnsi="Arial" w:cs="Arial"/>
          <w:sz w:val="24"/>
        </w:rPr>
        <w:t xml:space="preserve">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En cuanto a su retirada:  </w:t>
      </w:r>
    </w:p>
    <w:p w:rsidR="00FA7413" w:rsidRDefault="00D712A8">
      <w:pPr>
        <w:spacing w:after="0"/>
        <w:ind w:left="360"/>
      </w:pPr>
      <w:r>
        <w:rPr>
          <w:rFonts w:ascii="Arial" w:eastAsia="Arial" w:hAnsi="Arial" w:cs="Arial"/>
        </w:rPr>
        <w:t xml:space="preserve"> </w:t>
      </w:r>
    </w:p>
    <w:p w:rsidR="00FA7413" w:rsidRDefault="00D712A8">
      <w:pPr>
        <w:spacing w:after="109" w:line="248" w:lineRule="auto"/>
        <w:ind w:left="355" w:right="64" w:hanging="10"/>
        <w:jc w:val="both"/>
      </w:pPr>
      <w:r>
        <w:rPr>
          <w:rFonts w:ascii="Arial" w:eastAsia="Arial" w:hAnsi="Arial" w:cs="Arial"/>
        </w:rPr>
        <w:t>El amianto puede ser retirado solo por empresas especializadas con los conocimientos necesarios y equipos de protección individual (EPI), previamente autorizadas por el G</w:t>
      </w:r>
      <w:r>
        <w:rPr>
          <w:rFonts w:ascii="Arial" w:eastAsia="Arial" w:hAnsi="Arial" w:cs="Arial"/>
        </w:rPr>
        <w:t xml:space="preserve">obierno de Canarias y cuyo listado puede ser consultado en: </w:t>
      </w:r>
      <w:r>
        <w:rPr>
          <w:rFonts w:ascii="Arial" w:eastAsia="Arial" w:hAnsi="Arial" w:cs="Arial"/>
          <w:color w:val="0000FF"/>
          <w:u w:val="single" w:color="0000FF"/>
        </w:rPr>
        <w:t>https://www.gobiernodecanarias.org/cmsweb/export/sites/trabajo/icasel/.content/PDF/EMPRESAS _CON_RIESGO_DE_AMIANTO_RERA.pdf</w:t>
      </w:r>
      <w:r>
        <w:rPr>
          <w:rFonts w:ascii="Arial" w:eastAsia="Arial" w:hAnsi="Arial" w:cs="Arial"/>
        </w:rPr>
        <w:t xml:space="preserve">.  </w:t>
      </w:r>
    </w:p>
    <w:p w:rsidR="00FA7413" w:rsidRDefault="00D712A8">
      <w:pPr>
        <w:spacing w:after="109" w:line="248" w:lineRule="auto"/>
        <w:ind w:left="355" w:right="64" w:hanging="10"/>
        <w:jc w:val="both"/>
      </w:pPr>
      <w:r>
        <w:rPr>
          <w:rFonts w:ascii="Arial" w:eastAsia="Arial" w:hAnsi="Arial" w:cs="Arial"/>
        </w:rPr>
        <w:t xml:space="preserve">Se trata del Registro de empresas con riesgo por amianto (RERA) </w:t>
      </w:r>
    </w:p>
    <w:p w:rsidR="00FA7413" w:rsidRDefault="00D712A8">
      <w:pPr>
        <w:spacing w:after="98"/>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La uralita no puede ser depositada ni junto a contenedores ni en ningún otro lugar que no sea el previsto para ello. El material no se queda en Canarias, ya que las empresas que lo retiran lo tratan para su posterior envío a la Península, donde es finalmen</w:t>
      </w:r>
      <w:r>
        <w:rPr>
          <w:rFonts w:ascii="Arial" w:eastAsia="Arial" w:hAnsi="Arial" w:cs="Arial"/>
        </w:rPr>
        <w:t xml:space="preserve">te gestionado en una planta especializada en este tipo de residuos.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 xml:space="preserve">Por todo ello y persiguiendo el </w:t>
      </w:r>
      <w:r>
        <w:rPr>
          <w:rFonts w:ascii="Arial" w:eastAsia="Arial" w:hAnsi="Arial" w:cs="Arial"/>
          <w:b/>
        </w:rPr>
        <w:t xml:space="preserve">objetivo europeo de desaparición del amianto en 2028 y erradicación en 2032, </w:t>
      </w:r>
      <w:r>
        <w:rPr>
          <w:rFonts w:ascii="Arial" w:eastAsia="Arial" w:hAnsi="Arial" w:cs="Arial"/>
        </w:rPr>
        <w:t>(en diversos reglamentos de la CE y directivas del Parlamento Europeo), así</w:t>
      </w:r>
      <w:r>
        <w:rPr>
          <w:rFonts w:ascii="Arial" w:eastAsia="Arial" w:hAnsi="Arial" w:cs="Arial"/>
        </w:rPr>
        <w:t xml:space="preserve"> como sobre la legislación del Estado español.</w:t>
      </w:r>
      <w:r>
        <w:rPr>
          <w:rFonts w:ascii="Arial" w:eastAsia="Arial" w:hAnsi="Arial" w:cs="Arial"/>
          <w:sz w:val="24"/>
        </w:rPr>
        <w:t xml:space="preserve">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2" w:hanging="10"/>
        <w:jc w:val="both"/>
      </w:pPr>
      <w:r>
        <w:rPr>
          <w:rFonts w:ascii="Arial" w:eastAsia="Arial" w:hAnsi="Arial" w:cs="Arial"/>
        </w:rPr>
        <w:t xml:space="preserve">Y por imperativos de </w:t>
      </w:r>
      <w:r>
        <w:rPr>
          <w:rFonts w:ascii="Arial" w:eastAsia="Arial" w:hAnsi="Arial" w:cs="Arial"/>
          <w:b/>
        </w:rPr>
        <w:t>salud de la población, de los riesgos laborales de las personas y de la naturaleza</w:t>
      </w:r>
      <w:r>
        <w:rPr>
          <w:rFonts w:ascii="Arial" w:eastAsia="Arial" w:hAnsi="Arial" w:cs="Arial"/>
        </w:rPr>
        <w:t>.</w:t>
      </w:r>
      <w:r>
        <w:rPr>
          <w:rFonts w:ascii="Arial" w:eastAsia="Arial" w:hAnsi="Arial" w:cs="Arial"/>
          <w:sz w:val="24"/>
        </w:rPr>
        <w:t xml:space="preserve">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2" w:hanging="10"/>
        <w:jc w:val="both"/>
      </w:pPr>
      <w:r>
        <w:rPr>
          <w:rFonts w:ascii="Arial" w:eastAsia="Arial" w:hAnsi="Arial" w:cs="Arial"/>
        </w:rPr>
        <w:t xml:space="preserve">Por la correcta </w:t>
      </w:r>
      <w:r>
        <w:rPr>
          <w:rFonts w:ascii="Arial" w:eastAsia="Arial" w:hAnsi="Arial" w:cs="Arial"/>
          <w:b/>
        </w:rPr>
        <w:t>gestión de los residuos.</w:t>
      </w:r>
      <w:r>
        <w:rPr>
          <w:rFonts w:ascii="Arial" w:eastAsia="Arial" w:hAnsi="Arial" w:cs="Arial"/>
          <w:sz w:val="24"/>
        </w:rPr>
        <w:t xml:space="preserve"> </w:t>
      </w:r>
    </w:p>
    <w:p w:rsidR="00FA7413" w:rsidRDefault="00D712A8">
      <w:pPr>
        <w:spacing w:after="0"/>
        <w:ind w:left="360"/>
      </w:pPr>
      <w:r>
        <w:rPr>
          <w:rFonts w:ascii="Arial" w:eastAsia="Arial" w:hAnsi="Arial" w:cs="Arial"/>
          <w:b/>
        </w:rPr>
        <w:t xml:space="preserve"> </w:t>
      </w:r>
      <w:r>
        <w:rPr>
          <w:rFonts w:ascii="Arial" w:eastAsia="Arial" w:hAnsi="Arial" w:cs="Arial"/>
          <w:sz w:val="24"/>
        </w:rPr>
        <w:t xml:space="preserve"> </w:t>
      </w:r>
    </w:p>
    <w:p w:rsidR="00FA7413" w:rsidRDefault="00D712A8">
      <w:pPr>
        <w:spacing w:after="0" w:line="248" w:lineRule="auto"/>
        <w:ind w:left="355" w:right="62" w:hanging="10"/>
        <w:jc w:val="both"/>
      </w:pPr>
      <w:r>
        <w:rPr>
          <w:rFonts w:ascii="Arial" w:eastAsia="Arial" w:hAnsi="Arial" w:cs="Arial"/>
        </w:rPr>
        <w:t xml:space="preserve">Por el cumplimiento de los </w:t>
      </w:r>
      <w:r>
        <w:rPr>
          <w:rFonts w:ascii="Arial" w:eastAsia="Arial" w:hAnsi="Arial" w:cs="Arial"/>
          <w:b/>
        </w:rPr>
        <w:t>ODS 3, de Salud y Bienes</w:t>
      </w:r>
      <w:r>
        <w:rPr>
          <w:rFonts w:ascii="Arial" w:eastAsia="Arial" w:hAnsi="Arial" w:cs="Arial"/>
          <w:b/>
        </w:rPr>
        <w:t>tar, 8 de Trabajo decente y crecimiento económico y 9 de Industria, Innovación e Infraestructura</w:t>
      </w:r>
      <w:r>
        <w:rPr>
          <w:rFonts w:ascii="Arial" w:eastAsia="Arial" w:hAnsi="Arial" w:cs="Arial"/>
        </w:rPr>
        <w:t>.</w:t>
      </w:r>
      <w:r>
        <w:rPr>
          <w:rFonts w:ascii="Arial" w:eastAsia="Arial" w:hAnsi="Arial" w:cs="Arial"/>
          <w:sz w:val="24"/>
        </w:rPr>
        <w:t xml:space="preserve">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4" w:hanging="10"/>
        <w:jc w:val="both"/>
      </w:pPr>
      <w:r>
        <w:rPr>
          <w:noProof/>
        </w:rPr>
        <mc:AlternateContent>
          <mc:Choice Requires="wpg">
            <w:drawing>
              <wp:anchor distT="0" distB="0" distL="114300" distR="114300" simplePos="0" relativeHeight="251796480"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20502" name="Group 220502"/>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5776" name="Rectangle 15776"/>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5777" name="Rectangle 15777"/>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134 de 180 </w:t>
                              </w:r>
                            </w:p>
                          </w:txbxContent>
                        </wps:txbx>
                        <wps:bodyPr horzOverflow="overflow" vert="horz" lIns="0" tIns="0" rIns="0" bIns="0" rtlCol="0">
                          <a:noAutofit/>
                        </wps:bodyPr>
                      </wps:wsp>
                    </wpg:wgp>
                  </a:graphicData>
                </a:graphic>
              </wp:anchor>
            </w:drawing>
          </mc:Choice>
          <mc:Fallback xmlns:a="http://schemas.openxmlformats.org/drawingml/2006/main">
            <w:pict>
              <v:group id="Group 220502" style="width:12.7031pt;height:275.586pt;position:absolute;mso-position-horizontal-relative:page;mso-position-horizontal:absolute;margin-left:682.278pt;mso-position-vertical-relative:page;margin-top:536.334pt;" coordsize="1613,34999">
                <v:rect id="Rectangle 15776"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5777"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134 de 180 </w:t>
                        </w:r>
                      </w:p>
                    </w:txbxContent>
                  </v:textbox>
                </v:rect>
                <w10:wrap type="square"/>
              </v:group>
            </w:pict>
          </mc:Fallback>
        </mc:AlternateContent>
      </w:r>
      <w:r>
        <w:rPr>
          <w:rFonts w:ascii="Arial" w:eastAsia="Arial" w:hAnsi="Arial" w:cs="Arial"/>
        </w:rPr>
        <w:t xml:space="preserve">Y por el compromiso de este </w:t>
      </w:r>
      <w:r>
        <w:rPr>
          <w:rFonts w:ascii="Arial" w:eastAsia="Arial" w:hAnsi="Arial" w:cs="Arial"/>
          <w:b/>
        </w:rPr>
        <w:t xml:space="preserve">Ayuntamiento con la Agenda 2030 </w:t>
      </w:r>
      <w:r>
        <w:rPr>
          <w:rFonts w:ascii="Arial" w:eastAsia="Arial" w:hAnsi="Arial" w:cs="Arial"/>
        </w:rPr>
        <w:t xml:space="preserve">y para que se constituya entre las entidades locales canarias, en ejemplo del cumplimiento a seguir. </w:t>
      </w:r>
      <w:r>
        <w:rPr>
          <w:rFonts w:ascii="Arial" w:eastAsia="Arial" w:hAnsi="Arial" w:cs="Arial"/>
          <w:sz w:val="24"/>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100"/>
        <w:ind w:left="360"/>
      </w:pPr>
      <w:r>
        <w:rPr>
          <w:rFonts w:ascii="Arial" w:eastAsia="Arial" w:hAnsi="Arial" w:cs="Arial"/>
        </w:rPr>
        <w:t xml:space="preserve"> </w:t>
      </w:r>
    </w:p>
    <w:p w:rsidR="00FA7413" w:rsidRDefault="00D712A8">
      <w:pPr>
        <w:spacing w:after="109" w:line="248" w:lineRule="auto"/>
        <w:ind w:left="355" w:right="64" w:hanging="10"/>
        <w:jc w:val="both"/>
      </w:pPr>
      <w:r>
        <w:rPr>
          <w:rFonts w:ascii="Arial" w:eastAsia="Arial" w:hAnsi="Arial" w:cs="Arial"/>
        </w:rPr>
        <w:t xml:space="preserve">Es por lo que presentamos a la consideración de este Pleno los siguientes </w:t>
      </w:r>
    </w:p>
    <w:p w:rsidR="00FA7413" w:rsidRDefault="00D712A8">
      <w:pPr>
        <w:pStyle w:val="Ttulo1"/>
        <w:spacing w:after="0"/>
        <w:ind w:left="1013" w:right="526"/>
      </w:pPr>
      <w:r>
        <w:t>ACUERDOS</w:t>
      </w:r>
      <w:r>
        <w:rPr>
          <w:b w:val="0"/>
          <w:sz w:val="24"/>
        </w:rPr>
        <w:t xml:space="preserve"> </w:t>
      </w:r>
    </w:p>
    <w:p w:rsidR="00FA7413" w:rsidRDefault="00D712A8">
      <w:pPr>
        <w:spacing w:after="0"/>
        <w:ind w:left="360"/>
      </w:pPr>
      <w:r>
        <w:rPr>
          <w:rFonts w:ascii="Arial" w:eastAsia="Arial" w:hAnsi="Arial" w:cs="Arial"/>
        </w:rPr>
        <w:t xml:space="preserve"> </w:t>
      </w:r>
    </w:p>
    <w:p w:rsidR="00FA7413" w:rsidRDefault="00D712A8">
      <w:pPr>
        <w:numPr>
          <w:ilvl w:val="0"/>
          <w:numId w:val="35"/>
        </w:numPr>
        <w:spacing w:after="0" w:line="248" w:lineRule="auto"/>
        <w:ind w:left="592" w:right="62" w:hanging="247"/>
        <w:jc w:val="both"/>
      </w:pPr>
      <w:r>
        <w:rPr>
          <w:rFonts w:ascii="Arial" w:eastAsia="Arial" w:hAnsi="Arial" w:cs="Arial"/>
          <w:b/>
        </w:rPr>
        <w:t>Realización de un censo o inventario de bienes e inmuebles de Candelaria que contengan amianto. Catalogación de los mismos según su antigüedad o vida útil y diag</w:t>
      </w:r>
      <w:r>
        <w:rPr>
          <w:rFonts w:ascii="Arial" w:eastAsia="Arial" w:hAnsi="Arial" w:cs="Arial"/>
          <w:b/>
        </w:rPr>
        <w:t xml:space="preserve">nóstico del estado del material amianto. </w:t>
      </w:r>
      <w:r>
        <w:rPr>
          <w:rFonts w:ascii="Arial" w:eastAsia="Arial" w:hAnsi="Arial" w:cs="Arial"/>
          <w:sz w:val="24"/>
        </w:rPr>
        <w:t xml:space="preserve"> </w:t>
      </w:r>
    </w:p>
    <w:p w:rsidR="00FA7413" w:rsidRDefault="00D712A8">
      <w:pPr>
        <w:spacing w:after="0"/>
        <w:ind w:left="360"/>
      </w:pPr>
      <w:r>
        <w:rPr>
          <w:rFonts w:ascii="Arial" w:eastAsia="Arial" w:hAnsi="Arial" w:cs="Arial"/>
        </w:rPr>
        <w:t xml:space="preserve"> </w:t>
      </w:r>
    </w:p>
    <w:p w:rsidR="00FA7413" w:rsidRDefault="00D712A8">
      <w:pPr>
        <w:numPr>
          <w:ilvl w:val="0"/>
          <w:numId w:val="35"/>
        </w:numPr>
        <w:spacing w:after="11" w:line="248" w:lineRule="auto"/>
        <w:ind w:left="592" w:right="62" w:hanging="247"/>
        <w:jc w:val="both"/>
      </w:pPr>
      <w:r>
        <w:rPr>
          <w:rFonts w:ascii="Arial" w:eastAsia="Arial" w:hAnsi="Arial" w:cs="Arial"/>
          <w:b/>
        </w:rPr>
        <w:t xml:space="preserve">Elaboración de un Plan de desamiantado del municipio. </w:t>
      </w:r>
      <w:r>
        <w:rPr>
          <w:rFonts w:ascii="Arial" w:eastAsia="Arial" w:hAnsi="Arial" w:cs="Arial"/>
          <w:sz w:val="24"/>
        </w:rPr>
        <w:t xml:space="preserve"> </w:t>
      </w:r>
    </w:p>
    <w:p w:rsidR="00FA7413" w:rsidRDefault="00D712A8">
      <w:pPr>
        <w:spacing w:after="0"/>
        <w:ind w:left="360"/>
      </w:pPr>
      <w:r>
        <w:rPr>
          <w:rFonts w:ascii="Arial" w:eastAsia="Arial" w:hAnsi="Arial" w:cs="Arial"/>
        </w:rPr>
        <w:t xml:space="preserve"> </w:t>
      </w:r>
    </w:p>
    <w:p w:rsidR="00FA7413" w:rsidRDefault="00D712A8">
      <w:pPr>
        <w:numPr>
          <w:ilvl w:val="0"/>
          <w:numId w:val="35"/>
        </w:numPr>
        <w:spacing w:after="0" w:line="248" w:lineRule="auto"/>
        <w:ind w:left="592" w:right="62" w:hanging="247"/>
        <w:jc w:val="both"/>
      </w:pPr>
      <w:r>
        <w:rPr>
          <w:rFonts w:ascii="Arial" w:eastAsia="Arial" w:hAnsi="Arial" w:cs="Arial"/>
          <w:b/>
        </w:rPr>
        <w:t>Campaña de información y sensibilización a las empresas, personas propietarias de viviendas y ciudadanía en general. Difusión de la información sobre emp</w:t>
      </w:r>
      <w:r>
        <w:rPr>
          <w:rFonts w:ascii="Arial" w:eastAsia="Arial" w:hAnsi="Arial" w:cs="Arial"/>
          <w:b/>
        </w:rPr>
        <w:t xml:space="preserve">resas especializadas en la manipulación, desmantelamiento y retirada en las instalaciones y elementos con amianto. </w:t>
      </w:r>
      <w:r>
        <w:rPr>
          <w:rFonts w:ascii="Arial" w:eastAsia="Arial" w:hAnsi="Arial" w:cs="Arial"/>
          <w:sz w:val="24"/>
        </w:rPr>
        <w:t xml:space="preserve"> </w:t>
      </w:r>
    </w:p>
    <w:p w:rsidR="00FA7413" w:rsidRDefault="00D712A8">
      <w:pPr>
        <w:spacing w:after="0"/>
        <w:ind w:left="360"/>
      </w:pPr>
      <w:r>
        <w:rPr>
          <w:rFonts w:ascii="Arial" w:eastAsia="Arial" w:hAnsi="Arial" w:cs="Arial"/>
        </w:rPr>
        <w:t xml:space="preserve"> </w:t>
      </w:r>
    </w:p>
    <w:p w:rsidR="00FA7413" w:rsidRDefault="00D712A8">
      <w:pPr>
        <w:numPr>
          <w:ilvl w:val="0"/>
          <w:numId w:val="35"/>
        </w:numPr>
        <w:spacing w:after="0" w:line="248" w:lineRule="auto"/>
        <w:ind w:left="592" w:right="62" w:hanging="247"/>
        <w:jc w:val="both"/>
      </w:pPr>
      <w:r>
        <w:rPr>
          <w:rFonts w:ascii="Arial" w:eastAsia="Arial" w:hAnsi="Arial" w:cs="Arial"/>
          <w:b/>
        </w:rPr>
        <w:t>Eliminación del amianto en las instalaciones municipales mediante la contratación de una empresa especializada del Registro de empresas c</w:t>
      </w:r>
      <w:r>
        <w:rPr>
          <w:rFonts w:ascii="Arial" w:eastAsia="Arial" w:hAnsi="Arial" w:cs="Arial"/>
          <w:b/>
        </w:rPr>
        <w:t xml:space="preserve">on riesgo por amianto (RERA). </w:t>
      </w:r>
      <w:r>
        <w:rPr>
          <w:rFonts w:ascii="Arial" w:eastAsia="Arial" w:hAnsi="Arial" w:cs="Arial"/>
          <w:sz w:val="24"/>
        </w:rPr>
        <w:t xml:space="preserve"> </w:t>
      </w:r>
    </w:p>
    <w:p w:rsidR="00FA7413" w:rsidRDefault="00D712A8">
      <w:pPr>
        <w:spacing w:after="0"/>
        <w:ind w:left="360"/>
      </w:pPr>
      <w:r>
        <w:rPr>
          <w:rFonts w:ascii="Arial" w:eastAsia="Arial" w:hAnsi="Arial" w:cs="Arial"/>
        </w:rPr>
        <w:t xml:space="preserve"> </w:t>
      </w:r>
    </w:p>
    <w:p w:rsidR="00FA7413" w:rsidRDefault="00D712A8">
      <w:pPr>
        <w:numPr>
          <w:ilvl w:val="0"/>
          <w:numId w:val="35"/>
        </w:numPr>
        <w:spacing w:after="11" w:line="248" w:lineRule="auto"/>
        <w:ind w:left="592" w:right="62" w:hanging="247"/>
        <w:jc w:val="both"/>
      </w:pPr>
      <w:r>
        <w:rPr>
          <w:rFonts w:ascii="Arial" w:eastAsia="Arial" w:hAnsi="Arial" w:cs="Arial"/>
          <w:b/>
        </w:rPr>
        <w:t xml:space="preserve">Elaboración de la Ordenanza Municipal de residuos tóxicos. </w:t>
      </w:r>
      <w:r>
        <w:rPr>
          <w:rFonts w:ascii="Arial" w:eastAsia="Arial" w:hAnsi="Arial" w:cs="Arial"/>
          <w:sz w:val="24"/>
        </w:rPr>
        <w:t xml:space="preserve"> </w:t>
      </w:r>
    </w:p>
    <w:p w:rsidR="00FA7413" w:rsidRDefault="00D712A8">
      <w:pPr>
        <w:spacing w:after="0"/>
        <w:ind w:left="360"/>
      </w:pPr>
      <w:r>
        <w:rPr>
          <w:rFonts w:ascii="Arial" w:eastAsia="Arial" w:hAnsi="Arial" w:cs="Arial"/>
        </w:rPr>
        <w:t xml:space="preserve"> </w:t>
      </w:r>
    </w:p>
    <w:p w:rsidR="00FA7413" w:rsidRDefault="00D712A8">
      <w:pPr>
        <w:numPr>
          <w:ilvl w:val="0"/>
          <w:numId w:val="35"/>
        </w:numPr>
        <w:spacing w:after="0" w:line="248" w:lineRule="auto"/>
        <w:ind w:left="592" w:right="62" w:hanging="247"/>
        <w:jc w:val="both"/>
      </w:pPr>
      <w:r>
        <w:rPr>
          <w:rFonts w:ascii="Arial" w:eastAsia="Arial" w:hAnsi="Arial" w:cs="Arial"/>
          <w:b/>
        </w:rPr>
        <w:t xml:space="preserve">Creación de un programa de formación para la prevención de riesgos laborales para los trabajadores y trabajadoras municipales y de la recogida de residuos en el municipio. </w:t>
      </w:r>
      <w:r>
        <w:rPr>
          <w:rFonts w:ascii="Arial" w:eastAsia="Arial" w:hAnsi="Arial" w:cs="Arial"/>
          <w:sz w:val="24"/>
        </w:rPr>
        <w:t xml:space="preserve"> </w:t>
      </w:r>
    </w:p>
    <w:p w:rsidR="00FA7413" w:rsidRDefault="00D712A8">
      <w:pPr>
        <w:spacing w:after="0"/>
        <w:ind w:left="360"/>
      </w:pPr>
      <w:r>
        <w:rPr>
          <w:rFonts w:ascii="Arial" w:eastAsia="Arial" w:hAnsi="Arial" w:cs="Arial"/>
        </w:rPr>
        <w:t xml:space="preserve"> </w:t>
      </w:r>
    </w:p>
    <w:p w:rsidR="00FA7413" w:rsidRDefault="00D712A8">
      <w:pPr>
        <w:numPr>
          <w:ilvl w:val="0"/>
          <w:numId w:val="35"/>
        </w:numPr>
        <w:spacing w:after="26" w:line="248" w:lineRule="auto"/>
        <w:ind w:left="592" w:right="62" w:hanging="247"/>
        <w:jc w:val="both"/>
      </w:pPr>
      <w:r>
        <w:rPr>
          <w:rFonts w:ascii="Arial" w:eastAsia="Arial" w:hAnsi="Arial" w:cs="Arial"/>
          <w:b/>
        </w:rPr>
        <w:t>Instar al Cabildo y Gobierno de Canarias a la asunción y reparto de competencias</w:t>
      </w:r>
      <w:r>
        <w:rPr>
          <w:rFonts w:ascii="Arial" w:eastAsia="Arial" w:hAnsi="Arial" w:cs="Arial"/>
          <w:b/>
        </w:rPr>
        <w:t xml:space="preserve"> entre sus consejerías.”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En Candelaria, a 15 de Junio de 2021.  </w:t>
      </w:r>
    </w:p>
    <w:p w:rsidR="00FA7413" w:rsidRDefault="00D712A8">
      <w:pPr>
        <w:spacing w:after="0"/>
        <w:ind w:left="360"/>
      </w:pPr>
      <w:r>
        <w:rPr>
          <w:rFonts w:ascii="Arial" w:eastAsia="Arial" w:hAnsi="Arial" w:cs="Arial"/>
        </w:rPr>
        <w:t xml:space="preserve"> </w:t>
      </w:r>
    </w:p>
    <w:p w:rsidR="00FA7413" w:rsidRDefault="00D712A8">
      <w:pPr>
        <w:spacing w:after="105" w:line="249" w:lineRule="auto"/>
        <w:ind w:left="10" w:right="63" w:hanging="10"/>
        <w:jc w:val="right"/>
      </w:pPr>
      <w:r>
        <w:rPr>
          <w:rFonts w:ascii="Arial" w:eastAsia="Arial" w:hAnsi="Arial" w:cs="Arial"/>
        </w:rPr>
        <w:t xml:space="preserve">Fdo: Lourdes del Carmen Mondéjar Rondón. </w:t>
      </w:r>
    </w:p>
    <w:p w:rsidR="00FA7413" w:rsidRDefault="00D712A8">
      <w:pPr>
        <w:spacing w:after="100"/>
        <w:ind w:left="360"/>
      </w:pPr>
      <w:r>
        <w:rPr>
          <w:rFonts w:ascii="Arial" w:eastAsia="Arial" w:hAnsi="Arial" w:cs="Arial"/>
          <w:b/>
        </w:rPr>
        <w:t xml:space="preserve"> </w:t>
      </w:r>
    </w:p>
    <w:p w:rsidR="00FA7413" w:rsidRDefault="00D712A8">
      <w:pPr>
        <w:spacing w:after="98"/>
        <w:ind w:left="360"/>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 xml:space="preserve">DICTAMEN FAVORABLE DE LA COMISIÓN INFORMATIVA DE P.G. URBANÍSTICA Y AMBIENTAL, OBRAS y SERVICIOS PÚBLICOS DE 21 DE JUNIO DE 2021.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355" w:right="64" w:hanging="10"/>
        <w:jc w:val="both"/>
      </w:pPr>
      <w:r>
        <w:rPr>
          <w:rFonts w:ascii="Arial" w:eastAsia="Arial" w:hAnsi="Arial" w:cs="Arial"/>
        </w:rPr>
        <w:t xml:space="preserve">Votos a favor: 1. </w:t>
      </w:r>
    </w:p>
    <w:p w:rsidR="00FA7413" w:rsidRDefault="00D712A8">
      <w:pPr>
        <w:spacing w:after="11" w:line="248" w:lineRule="auto"/>
        <w:ind w:left="355" w:right="64" w:hanging="10"/>
        <w:jc w:val="both"/>
      </w:pPr>
      <w:r>
        <w:rPr>
          <w:rFonts w:ascii="Arial" w:eastAsia="Arial" w:hAnsi="Arial" w:cs="Arial"/>
        </w:rPr>
        <w:t xml:space="preserve">1 de la concejal del Grupo Mixto (SSP), Doña Lourdes del Carmen Mondéjar Rondón.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Votos en contra: 0.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Abstenciones: 6. </w:t>
      </w:r>
    </w:p>
    <w:p w:rsidR="00FA7413" w:rsidRDefault="00D712A8">
      <w:pPr>
        <w:spacing w:after="0" w:line="248" w:lineRule="auto"/>
        <w:ind w:left="355" w:right="64" w:hanging="10"/>
        <w:jc w:val="both"/>
      </w:pPr>
      <w:r>
        <w:rPr>
          <w:noProof/>
        </w:rPr>
        <mc:AlternateContent>
          <mc:Choice Requires="wpg">
            <w:drawing>
              <wp:anchor distT="0" distB="0" distL="114300" distR="114300" simplePos="0" relativeHeight="251797504"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20215" name="Group 220215"/>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5894" name="Rectangle 15894"/>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5895" name="Rectangle 15895"/>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Documento</w:t>
                              </w:r>
                              <w:r>
                                <w:rPr>
                                  <w:rFonts w:ascii="Arial" w:eastAsia="Arial" w:hAnsi="Arial" w:cs="Arial"/>
                                  <w:sz w:val="12"/>
                                </w:rPr>
                                <w:t xml:space="preserve"> firmado electrónicamente desde la plataforma esPublico Gestiona | Página 135 de 180 </w:t>
                              </w:r>
                            </w:p>
                          </w:txbxContent>
                        </wps:txbx>
                        <wps:bodyPr horzOverflow="overflow" vert="horz" lIns="0" tIns="0" rIns="0" bIns="0" rtlCol="0">
                          <a:noAutofit/>
                        </wps:bodyPr>
                      </wps:wsp>
                    </wpg:wgp>
                  </a:graphicData>
                </a:graphic>
              </wp:anchor>
            </w:drawing>
          </mc:Choice>
          <mc:Fallback xmlns:a="http://schemas.openxmlformats.org/drawingml/2006/main">
            <w:pict>
              <v:group id="Group 220215" style="width:12.7031pt;height:275.586pt;position:absolute;mso-position-horizontal-relative:page;mso-position-horizontal:absolute;margin-left:682.278pt;mso-position-vertical-relative:page;margin-top:536.334pt;" coordsize="1613,34999">
                <v:rect id="Rectangle 15894"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5895"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135 de 180 </w:t>
                        </w:r>
                      </w:p>
                    </w:txbxContent>
                  </v:textbox>
                </v:rect>
                <w10:wrap type="square"/>
              </v:group>
            </w:pict>
          </mc:Fallback>
        </mc:AlternateContent>
      </w:r>
      <w:r>
        <w:rPr>
          <w:rFonts w:ascii="Arial" w:eastAsia="Arial" w:hAnsi="Arial" w:cs="Arial"/>
        </w:rPr>
        <w:t>4 concejales del Grupo Socialista: Doña Hilaria Cecilia Otazo González, Don Olegario Francisco Alonso Bello, Doña María del Carmen Clemente Díaz y Doña Margarita Eva Tend</w:t>
      </w:r>
      <w:r>
        <w:rPr>
          <w:rFonts w:ascii="Arial" w:eastAsia="Arial" w:hAnsi="Arial" w:cs="Arial"/>
        </w:rPr>
        <w:t xml:space="preserve">ero Barroso. </w:t>
      </w:r>
    </w:p>
    <w:p w:rsidR="00FA7413" w:rsidRDefault="00D712A8">
      <w:pPr>
        <w:spacing w:after="11" w:line="248" w:lineRule="auto"/>
        <w:ind w:left="355" w:right="64" w:hanging="10"/>
        <w:jc w:val="both"/>
      </w:pPr>
      <w:r>
        <w:rPr>
          <w:rFonts w:ascii="Arial" w:eastAsia="Arial" w:hAnsi="Arial" w:cs="Arial"/>
        </w:rPr>
        <w:t xml:space="preserve">1 de la concejal del Grupo Popular: Doña Raquel Martín Castro. </w:t>
      </w:r>
    </w:p>
    <w:p w:rsidR="00FA7413" w:rsidRDefault="00D712A8">
      <w:pPr>
        <w:numPr>
          <w:ilvl w:val="0"/>
          <w:numId w:val="36"/>
        </w:numPr>
        <w:spacing w:after="11" w:line="248" w:lineRule="auto"/>
        <w:ind w:right="64" w:firstLine="708"/>
        <w:jc w:val="both"/>
      </w:pPr>
      <w:r>
        <w:rPr>
          <w:rFonts w:ascii="Arial" w:eastAsia="Arial" w:hAnsi="Arial" w:cs="Arial"/>
        </w:rPr>
        <w:t xml:space="preserve">de la concejal del Grupo Mixto (CC), Doña Ángela Cruz Perera.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2" w:hanging="10"/>
        <w:jc w:val="both"/>
      </w:pPr>
      <w:r>
        <w:rPr>
          <w:rFonts w:ascii="Arial" w:eastAsia="Arial" w:hAnsi="Arial" w:cs="Arial"/>
          <w:b/>
        </w:rPr>
        <w:t xml:space="preserve">JUNTA DE PORTAVOCES DE 21 DE JUNIO DE 2021.  </w:t>
      </w:r>
    </w:p>
    <w:p w:rsidR="00FA7413" w:rsidRDefault="00D712A8">
      <w:pPr>
        <w:spacing w:after="11" w:line="248" w:lineRule="auto"/>
        <w:ind w:left="355" w:right="64" w:hanging="10"/>
        <w:jc w:val="both"/>
      </w:pPr>
      <w:r>
        <w:rPr>
          <w:rFonts w:ascii="Arial" w:eastAsia="Arial" w:hAnsi="Arial" w:cs="Arial"/>
        </w:rPr>
        <w:t xml:space="preserve">Quedó oída.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355" w:right="62" w:hanging="10"/>
        <w:jc w:val="both"/>
      </w:pPr>
      <w:r>
        <w:rPr>
          <w:rFonts w:ascii="Arial" w:eastAsia="Arial" w:hAnsi="Arial" w:cs="Arial"/>
          <w:b/>
        </w:rPr>
        <w:t xml:space="preserve">VOTACIÓN EN EL PLENO DE  24 DE JUNIO DE 2021.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355" w:right="64" w:hanging="10"/>
        <w:jc w:val="both"/>
      </w:pPr>
      <w:r>
        <w:rPr>
          <w:rFonts w:ascii="Arial" w:eastAsia="Arial" w:hAnsi="Arial" w:cs="Arial"/>
        </w:rPr>
        <w:t xml:space="preserve">Votos a favor: 16. </w:t>
      </w:r>
    </w:p>
    <w:p w:rsidR="00FA7413" w:rsidRDefault="00D712A8">
      <w:pPr>
        <w:spacing w:after="109" w:line="248" w:lineRule="auto"/>
        <w:ind w:left="345" w:right="64" w:firstLine="708"/>
        <w:jc w:val="both"/>
      </w:pPr>
      <w:r>
        <w:rPr>
          <w:rFonts w:ascii="Arial" w:eastAsia="Arial" w:hAnsi="Arial" w:cs="Arial"/>
        </w:rPr>
        <w:t>11 concejales del Grupo Socialista: Doña María Concepción Brito Núñez, Don Jorge Baute Delgado, Doña Olivia Concepción Pérez Díaz, Don José Francisco Pinto Ramos, Doña Hilaria Cecilia Otazo González, Don Airam Pérez Chinea, Doña Marga</w:t>
      </w:r>
      <w:r>
        <w:rPr>
          <w:rFonts w:ascii="Arial" w:eastAsia="Arial" w:hAnsi="Arial" w:cs="Arial"/>
        </w:rPr>
        <w:t xml:space="preserve">rita Eva Tendero Barroso, Don Manuel Alberto González Pestano, Doña María del Carmen Clemente Díaz, Don Olegario Francisco Alonso Bello y Don Reinaldo José Triviño Blanco. </w:t>
      </w:r>
    </w:p>
    <w:p w:rsidR="00FA7413" w:rsidRDefault="00D712A8">
      <w:pPr>
        <w:numPr>
          <w:ilvl w:val="0"/>
          <w:numId w:val="36"/>
        </w:numPr>
        <w:spacing w:after="109" w:line="248" w:lineRule="auto"/>
        <w:ind w:right="64" w:firstLine="708"/>
        <w:jc w:val="both"/>
      </w:pPr>
      <w:r>
        <w:rPr>
          <w:rFonts w:ascii="Arial" w:eastAsia="Arial" w:hAnsi="Arial" w:cs="Arial"/>
        </w:rPr>
        <w:t>concejales del Grupo Popular: Don Andrés Rodríguez Delgado y Don Jacobo López Fariñ</w:t>
      </w:r>
      <w:r>
        <w:rPr>
          <w:rFonts w:ascii="Arial" w:eastAsia="Arial" w:hAnsi="Arial" w:cs="Arial"/>
        </w:rPr>
        <w:t xml:space="preserve">a. </w:t>
      </w:r>
    </w:p>
    <w:p w:rsidR="00FA7413" w:rsidRDefault="00D712A8">
      <w:pPr>
        <w:numPr>
          <w:ilvl w:val="0"/>
          <w:numId w:val="36"/>
        </w:numPr>
        <w:spacing w:after="109" w:line="248" w:lineRule="auto"/>
        <w:ind w:right="64" w:firstLine="708"/>
        <w:jc w:val="both"/>
      </w:pPr>
      <w:r>
        <w:rPr>
          <w:rFonts w:ascii="Arial" w:eastAsia="Arial" w:hAnsi="Arial" w:cs="Arial"/>
        </w:rPr>
        <w:t xml:space="preserve">de los concejales del Grupo Mixto: Don Antonio Delgado García y Doña Lourdes del Carmen Mondéjar Rondón (SSP) y Doña Ángela Cruz Perera (CC). </w:t>
      </w:r>
    </w:p>
    <w:p w:rsidR="00FA7413" w:rsidRDefault="00D712A8">
      <w:pPr>
        <w:spacing w:after="0"/>
        <w:ind w:left="360"/>
      </w:pPr>
      <w:r>
        <w:rPr>
          <w:rFonts w:ascii="Arial" w:eastAsia="Arial" w:hAnsi="Arial" w:cs="Arial"/>
        </w:rPr>
        <w:t xml:space="preserve"> </w:t>
      </w:r>
    </w:p>
    <w:p w:rsidR="00FA7413" w:rsidRDefault="00D712A8">
      <w:pPr>
        <w:spacing w:after="109" w:line="248" w:lineRule="auto"/>
        <w:ind w:left="355" w:right="64" w:hanging="10"/>
        <w:jc w:val="both"/>
      </w:pPr>
      <w:r>
        <w:rPr>
          <w:rFonts w:ascii="Arial" w:eastAsia="Arial" w:hAnsi="Arial" w:cs="Arial"/>
        </w:rPr>
        <w:t xml:space="preserve">Votos en contra: 0.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Abstenciones: 1. </w:t>
      </w:r>
    </w:p>
    <w:p w:rsidR="00FA7413" w:rsidRDefault="00D712A8">
      <w:pPr>
        <w:spacing w:after="0"/>
        <w:ind w:left="360"/>
      </w:pPr>
      <w:r>
        <w:rPr>
          <w:rFonts w:ascii="Arial" w:eastAsia="Arial" w:hAnsi="Arial" w:cs="Arial"/>
          <w:b/>
        </w:rPr>
        <w:t xml:space="preserve"> </w:t>
      </w:r>
    </w:p>
    <w:p w:rsidR="00FA7413" w:rsidRDefault="00D712A8">
      <w:pPr>
        <w:spacing w:after="109" w:line="248" w:lineRule="auto"/>
        <w:ind w:left="1078" w:right="64" w:hanging="10"/>
        <w:jc w:val="both"/>
      </w:pPr>
      <w:r>
        <w:rPr>
          <w:rFonts w:ascii="Arial" w:eastAsia="Arial" w:hAnsi="Arial" w:cs="Arial"/>
          <w:b/>
        </w:rPr>
        <w:t xml:space="preserve"> </w:t>
      </w:r>
      <w:r>
        <w:rPr>
          <w:rFonts w:ascii="Arial" w:eastAsia="Arial" w:hAnsi="Arial" w:cs="Arial"/>
        </w:rPr>
        <w:t xml:space="preserve">1 de la concejal del Grupo Mixto (VxC): Doña Alicia Mercedes Marrero Meneses.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1789" w:right="62" w:hanging="10"/>
        <w:jc w:val="both"/>
      </w:pPr>
      <w:r>
        <w:rPr>
          <w:rFonts w:ascii="Arial" w:eastAsia="Arial" w:hAnsi="Arial" w:cs="Arial"/>
          <w:b/>
        </w:rPr>
        <w:t xml:space="preserve">ACUERDO DEL PLENO DE 24 DE JUNIO DE 2021. </w:t>
      </w:r>
    </w:p>
    <w:p w:rsidR="00FA7413" w:rsidRDefault="00D712A8">
      <w:pPr>
        <w:spacing w:after="0"/>
        <w:ind w:left="360"/>
      </w:pPr>
      <w:r>
        <w:rPr>
          <w:rFonts w:ascii="Arial" w:eastAsia="Arial" w:hAnsi="Arial" w:cs="Arial"/>
          <w:b/>
        </w:rPr>
        <w:t xml:space="preserve"> </w:t>
      </w:r>
    </w:p>
    <w:p w:rsidR="00FA7413" w:rsidRDefault="00D712A8">
      <w:pPr>
        <w:numPr>
          <w:ilvl w:val="0"/>
          <w:numId w:val="37"/>
        </w:numPr>
        <w:spacing w:after="0" w:line="248" w:lineRule="auto"/>
        <w:ind w:left="592" w:right="62" w:hanging="247"/>
        <w:jc w:val="both"/>
      </w:pPr>
      <w:r>
        <w:rPr>
          <w:rFonts w:ascii="Arial" w:eastAsia="Arial" w:hAnsi="Arial" w:cs="Arial"/>
          <w:b/>
        </w:rPr>
        <w:t>Realización de un censo o inventario de bienes e inmuebles de Candelaria que contengan amianto. Catalogación de los mismos se</w:t>
      </w:r>
      <w:r>
        <w:rPr>
          <w:rFonts w:ascii="Arial" w:eastAsia="Arial" w:hAnsi="Arial" w:cs="Arial"/>
          <w:b/>
        </w:rPr>
        <w:t>gún su antigüedad o vida útil y diagnóstico del estado del material amianto y todo ello siempre y cuando se prevea en el texto definitivo de la Ley de Residuos y Suelos Contaminados que se publique en el Boletín Oficial del Estado.</w:t>
      </w:r>
      <w:r>
        <w:rPr>
          <w:rFonts w:ascii="Arial" w:eastAsia="Arial" w:hAnsi="Arial" w:cs="Arial"/>
          <w:sz w:val="24"/>
        </w:rPr>
        <w:t xml:space="preserve"> </w:t>
      </w:r>
    </w:p>
    <w:p w:rsidR="00FA7413" w:rsidRDefault="00D712A8">
      <w:pPr>
        <w:spacing w:after="0"/>
        <w:ind w:left="360"/>
      </w:pPr>
      <w:r>
        <w:rPr>
          <w:rFonts w:ascii="Arial" w:eastAsia="Arial" w:hAnsi="Arial" w:cs="Arial"/>
        </w:rPr>
        <w:t xml:space="preserve"> </w:t>
      </w:r>
    </w:p>
    <w:p w:rsidR="00FA7413" w:rsidRDefault="00D712A8">
      <w:pPr>
        <w:numPr>
          <w:ilvl w:val="0"/>
          <w:numId w:val="37"/>
        </w:numPr>
        <w:spacing w:after="11" w:line="248" w:lineRule="auto"/>
        <w:ind w:left="592" w:right="62" w:hanging="247"/>
        <w:jc w:val="both"/>
      </w:pPr>
      <w:r>
        <w:rPr>
          <w:rFonts w:ascii="Arial" w:eastAsia="Arial" w:hAnsi="Arial" w:cs="Arial"/>
          <w:b/>
        </w:rPr>
        <w:t xml:space="preserve">Elaboración de un Plan de desamiantado del municipio. </w:t>
      </w:r>
      <w:r>
        <w:rPr>
          <w:rFonts w:ascii="Arial" w:eastAsia="Arial" w:hAnsi="Arial" w:cs="Arial"/>
          <w:sz w:val="24"/>
        </w:rPr>
        <w:t xml:space="preserve"> </w:t>
      </w:r>
    </w:p>
    <w:p w:rsidR="00FA7413" w:rsidRDefault="00D712A8">
      <w:pPr>
        <w:spacing w:after="0"/>
        <w:ind w:left="360"/>
      </w:pPr>
      <w:r>
        <w:rPr>
          <w:rFonts w:ascii="Arial" w:eastAsia="Arial" w:hAnsi="Arial" w:cs="Arial"/>
        </w:rPr>
        <w:t xml:space="preserve"> </w:t>
      </w:r>
    </w:p>
    <w:p w:rsidR="00FA7413" w:rsidRDefault="00D712A8">
      <w:pPr>
        <w:numPr>
          <w:ilvl w:val="0"/>
          <w:numId w:val="37"/>
        </w:numPr>
        <w:spacing w:after="0" w:line="248" w:lineRule="auto"/>
        <w:ind w:left="592" w:right="62" w:hanging="247"/>
        <w:jc w:val="both"/>
      </w:pPr>
      <w:r>
        <w:rPr>
          <w:rFonts w:ascii="Arial" w:eastAsia="Arial" w:hAnsi="Arial" w:cs="Arial"/>
          <w:b/>
        </w:rPr>
        <w:t>Campaña de información y sensibilización a las empresas, personas propietarias de viviendas y ciudadanía en general. Difusión de la información sobre empresas especializadas en la manipulación, desm</w:t>
      </w:r>
      <w:r>
        <w:rPr>
          <w:rFonts w:ascii="Arial" w:eastAsia="Arial" w:hAnsi="Arial" w:cs="Arial"/>
          <w:b/>
        </w:rPr>
        <w:t xml:space="preserve">antelamiento y retirada en las instalaciones y elementos con amianto. </w:t>
      </w:r>
      <w:r>
        <w:rPr>
          <w:rFonts w:ascii="Arial" w:eastAsia="Arial" w:hAnsi="Arial" w:cs="Arial"/>
          <w:sz w:val="24"/>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93" w:line="249" w:lineRule="auto"/>
        <w:ind w:left="355" w:right="66" w:hanging="10"/>
        <w:jc w:val="both"/>
      </w:pPr>
      <w:r>
        <w:rPr>
          <w:noProof/>
        </w:rPr>
        <mc:AlternateContent>
          <mc:Choice Requires="wpg">
            <w:drawing>
              <wp:anchor distT="0" distB="0" distL="114300" distR="114300" simplePos="0" relativeHeight="251798528"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20332" name="Group 220332"/>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6009" name="Rectangle 16009"/>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6010" name="Rectangle 16010"/>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136 de 180 </w:t>
                              </w:r>
                            </w:p>
                          </w:txbxContent>
                        </wps:txbx>
                        <wps:bodyPr horzOverflow="overflow" vert="horz" lIns="0" tIns="0" rIns="0" bIns="0" rtlCol="0">
                          <a:noAutofit/>
                        </wps:bodyPr>
                      </wps:wsp>
                    </wpg:wgp>
                  </a:graphicData>
                </a:graphic>
              </wp:anchor>
            </w:drawing>
          </mc:Choice>
          <mc:Fallback xmlns:a="http://schemas.openxmlformats.org/drawingml/2006/main">
            <w:pict>
              <v:group id="Group 220332" style="width:12.7031pt;height:275.586pt;position:absolute;mso-position-horizontal-relative:page;mso-position-horizontal:absolute;margin-left:682.278pt;mso-position-vertical-relative:page;margin-top:536.334pt;" coordsize="1613,34999">
                <v:rect id="Rectangle 16009"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6010"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136 de 180 </w:t>
                        </w:r>
                      </w:p>
                    </w:txbxContent>
                  </v:textbox>
                </v:rect>
                <w10:wrap type="square"/>
              </v:group>
            </w:pict>
          </mc:Fallback>
        </mc:AlternateContent>
      </w:r>
      <w:r>
        <w:rPr>
          <w:rFonts w:ascii="Arial" w:eastAsia="Arial" w:hAnsi="Arial" w:cs="Arial"/>
          <w:b/>
          <w:sz w:val="24"/>
        </w:rPr>
        <w:t>15.- Expediente 5877/2021. Moción del Grupo Mixto por registro de entrada de 15 de junio de 2021 para impulsar el Fondo de Reconstrucción Municipal para paliar l</w:t>
      </w:r>
      <w:r>
        <w:rPr>
          <w:rFonts w:ascii="Arial" w:eastAsia="Arial" w:hAnsi="Arial" w:cs="Arial"/>
          <w:b/>
          <w:sz w:val="24"/>
        </w:rPr>
        <w:t>os efectos generados por la crisis económica y la caída de ingresos.</w:t>
      </w:r>
      <w:r>
        <w:rPr>
          <w:rFonts w:ascii="Arial" w:eastAsia="Arial" w:hAnsi="Arial" w:cs="Arial"/>
        </w:rPr>
        <w:t xml:space="preserve"> </w:t>
      </w:r>
    </w:p>
    <w:p w:rsidR="00FA7413" w:rsidRDefault="00D712A8">
      <w:pPr>
        <w:spacing w:after="100"/>
        <w:ind w:left="360"/>
      </w:pPr>
      <w:r>
        <w:rPr>
          <w:rFonts w:ascii="Arial" w:eastAsia="Arial" w:hAnsi="Arial" w:cs="Arial"/>
          <w:b/>
        </w:rPr>
        <w:t xml:space="preserve"> </w:t>
      </w:r>
    </w:p>
    <w:p w:rsidR="00FA7413" w:rsidRDefault="00D712A8">
      <w:pPr>
        <w:spacing w:after="11" w:line="248" w:lineRule="auto"/>
        <w:ind w:left="355" w:right="62" w:hanging="10"/>
        <w:jc w:val="both"/>
      </w:pPr>
      <w:r>
        <w:rPr>
          <w:rFonts w:ascii="Arial" w:eastAsia="Arial" w:hAnsi="Arial" w:cs="Arial"/>
          <w:b/>
        </w:rPr>
        <w:t xml:space="preserve">Consta en el expediente electrónico la referida moción que se inserta literalmente: </w:t>
      </w:r>
    </w:p>
    <w:p w:rsidR="00FA7413" w:rsidRDefault="00D712A8">
      <w:pPr>
        <w:spacing w:after="98"/>
        <w:ind w:left="360"/>
      </w:pPr>
      <w:r>
        <w:rPr>
          <w:rFonts w:ascii="Arial" w:eastAsia="Arial" w:hAnsi="Arial" w:cs="Arial"/>
          <w:b/>
        </w:rPr>
        <w:t xml:space="preserve"> </w:t>
      </w:r>
    </w:p>
    <w:p w:rsidR="00FA7413" w:rsidRDefault="00D712A8">
      <w:pPr>
        <w:spacing w:after="97"/>
        <w:ind w:left="360"/>
      </w:pPr>
      <w:r>
        <w:rPr>
          <w:rFonts w:ascii="Arial" w:eastAsia="Arial" w:hAnsi="Arial" w:cs="Arial"/>
          <w:b/>
        </w:rPr>
        <w:t xml:space="preserve"> </w:t>
      </w:r>
    </w:p>
    <w:p w:rsidR="00FA7413" w:rsidRDefault="00D712A8">
      <w:pPr>
        <w:spacing w:after="47"/>
        <w:ind w:left="360"/>
      </w:pPr>
      <w:r>
        <w:rPr>
          <w:noProof/>
        </w:rPr>
        <w:drawing>
          <wp:inline distT="0" distB="0" distL="0" distR="0">
            <wp:extent cx="905194" cy="669018"/>
            <wp:effectExtent l="0" t="0" r="0" b="0"/>
            <wp:docPr id="16006" name="Picture 16006"/>
            <wp:cNvGraphicFramePr/>
            <a:graphic xmlns:a="http://schemas.openxmlformats.org/drawingml/2006/main">
              <a:graphicData uri="http://schemas.openxmlformats.org/drawingml/2006/picture">
                <pic:pic xmlns:pic="http://schemas.openxmlformats.org/drawingml/2006/picture">
                  <pic:nvPicPr>
                    <pic:cNvPr id="16006" name="Picture 16006"/>
                    <pic:cNvPicPr/>
                  </pic:nvPicPr>
                  <pic:blipFill>
                    <a:blip r:embed="rId23"/>
                    <a:stretch>
                      <a:fillRect/>
                    </a:stretch>
                  </pic:blipFill>
                  <pic:spPr>
                    <a:xfrm>
                      <a:off x="0" y="0"/>
                      <a:ext cx="905194" cy="669018"/>
                    </a:xfrm>
                    <a:prstGeom prst="rect">
                      <a:avLst/>
                    </a:prstGeom>
                  </pic:spPr>
                </pic:pic>
              </a:graphicData>
            </a:graphic>
          </wp:inline>
        </w:drawing>
      </w:r>
      <w:r>
        <w:rPr>
          <w:rFonts w:ascii="Arial" w:eastAsia="Arial" w:hAnsi="Arial" w:cs="Arial"/>
        </w:rPr>
        <w:t xml:space="preserve"> </w:t>
      </w:r>
    </w:p>
    <w:p w:rsidR="00FA7413" w:rsidRDefault="00D712A8">
      <w:pPr>
        <w:spacing w:after="112" w:line="248" w:lineRule="auto"/>
        <w:ind w:left="355" w:right="62" w:hanging="10"/>
        <w:jc w:val="both"/>
      </w:pPr>
      <w:r>
        <w:rPr>
          <w:rFonts w:ascii="Arial" w:eastAsia="Arial" w:hAnsi="Arial" w:cs="Arial"/>
          <w:b/>
        </w:rPr>
        <w:t xml:space="preserve">Candelaria </w:t>
      </w:r>
    </w:p>
    <w:p w:rsidR="00FA7413" w:rsidRDefault="00D712A8">
      <w:pPr>
        <w:spacing w:after="135"/>
        <w:ind w:left="360"/>
      </w:pPr>
      <w:r>
        <w:rPr>
          <w:rFonts w:ascii="Arial" w:eastAsia="Arial" w:hAnsi="Arial" w:cs="Arial"/>
          <w:b/>
        </w:rPr>
        <w:t xml:space="preserve"> </w:t>
      </w:r>
    </w:p>
    <w:p w:rsidR="00FA7413" w:rsidRDefault="00D712A8">
      <w:pPr>
        <w:spacing w:after="0"/>
        <w:ind w:left="288"/>
        <w:jc w:val="center"/>
      </w:pPr>
      <w:r>
        <w:rPr>
          <w:rFonts w:ascii="Arial" w:eastAsia="Arial" w:hAnsi="Arial" w:cs="Arial"/>
          <w:b/>
          <w:color w:val="212121"/>
        </w:rPr>
        <w:t xml:space="preserve">“MOCIÓN </w:t>
      </w:r>
    </w:p>
    <w:p w:rsidR="00FA7413" w:rsidRDefault="00D712A8">
      <w:pPr>
        <w:spacing w:after="0"/>
        <w:ind w:left="346"/>
        <w:jc w:val="center"/>
      </w:pPr>
      <w:r>
        <w:rPr>
          <w:rFonts w:ascii="Arial" w:eastAsia="Arial" w:hAnsi="Arial" w:cs="Arial"/>
          <w:color w:val="212121"/>
        </w:rPr>
        <w:t xml:space="preserve"> </w:t>
      </w:r>
    </w:p>
    <w:p w:rsidR="00FA7413" w:rsidRDefault="00D712A8">
      <w:pPr>
        <w:spacing w:after="0" w:line="248" w:lineRule="auto"/>
        <w:ind w:left="355" w:right="64" w:hanging="10"/>
        <w:jc w:val="both"/>
      </w:pPr>
      <w:r>
        <w:rPr>
          <w:rFonts w:ascii="Arial" w:eastAsia="Arial" w:hAnsi="Arial" w:cs="Arial"/>
        </w:rPr>
        <w:t xml:space="preserve">  </w:t>
      </w:r>
      <w:r>
        <w:rPr>
          <w:rFonts w:ascii="Arial" w:eastAsia="Arial" w:hAnsi="Arial" w:cs="Arial"/>
        </w:rPr>
        <w:t xml:space="preserve">Dña. Ángela Cruz Perera, con DNI ***4786**, en calidad de portavoz de </w:t>
      </w:r>
      <w:r>
        <w:rPr>
          <w:rFonts w:ascii="Arial" w:eastAsia="Arial" w:hAnsi="Arial" w:cs="Arial"/>
          <w:b/>
        </w:rPr>
        <w:t>Coalición Canaria (CCPNC) en el Grupo Mixto</w:t>
      </w:r>
      <w:r>
        <w:rPr>
          <w:rFonts w:ascii="Arial" w:eastAsia="Arial" w:hAnsi="Arial" w:cs="Arial"/>
        </w:rPr>
        <w:t xml:space="preserve">, conforme establece el artículo 97.3 del Reglamento de Organización, Funcionamiento y Régimen Jurídico de las Entidades Locales, aprobado por </w:t>
      </w:r>
      <w:r>
        <w:rPr>
          <w:rFonts w:ascii="Arial" w:eastAsia="Arial" w:hAnsi="Arial" w:cs="Arial"/>
        </w:rPr>
        <w:t xml:space="preserve">R.D. 2568/1986, de 28 de noviembre, presenta para su debate y aprobación si procede, ante el Pleno del Ayuntamiento de Candelaria la siguiente </w:t>
      </w:r>
      <w:r>
        <w:rPr>
          <w:rFonts w:ascii="Arial" w:eastAsia="Arial" w:hAnsi="Arial" w:cs="Arial"/>
          <w:b/>
        </w:rPr>
        <w:t>MOCIÓN SOBRE EL FONDO DE RECONSTRUCCIÓN MUNICIPAL</w:t>
      </w:r>
      <w:r>
        <w:rPr>
          <w:rFonts w:ascii="Arial" w:eastAsia="Arial" w:hAnsi="Arial" w:cs="Arial"/>
        </w:rPr>
        <w:t xml:space="preserve"> </w:t>
      </w:r>
      <w:r>
        <w:rPr>
          <w:rFonts w:ascii="Arial" w:eastAsia="Arial" w:hAnsi="Arial" w:cs="Arial"/>
          <w:b/>
        </w:rPr>
        <w:t xml:space="preserve">EXPOSICIÓN DE MOTIVOS </w:t>
      </w:r>
    </w:p>
    <w:p w:rsidR="00FA7413" w:rsidRDefault="00D712A8">
      <w:pPr>
        <w:spacing w:after="0"/>
        <w:ind w:left="346"/>
        <w:jc w:val="center"/>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 xml:space="preserve">    Desde que comenzó la pandemia de l</w:t>
      </w:r>
      <w:r>
        <w:rPr>
          <w:rFonts w:ascii="Arial" w:eastAsia="Arial" w:hAnsi="Arial" w:cs="Arial"/>
        </w:rPr>
        <w:t>a Covid19 y su impacto en la economía, mucho se ha hablado sobre la financiación de las administraciones locales para poder afrontar el incremento del gasto y la reducción drástica de los ingresos. Desde el debate sobre el uso de los remanentes hasta la cr</w:t>
      </w:r>
      <w:r>
        <w:rPr>
          <w:rFonts w:ascii="Arial" w:eastAsia="Arial" w:hAnsi="Arial" w:cs="Arial"/>
        </w:rPr>
        <w:t>eación de un fondo covid19 por parte del Ministerio de Hacienda del Gobierno de España o Fondo de Reconstrucción Municipal, poco se ha materializado y a pesar de los diferentes acuerdos en la FEMP y FECAM, aún no se ha concretado nada sobre la financiación</w:t>
      </w:r>
      <w:r>
        <w:rPr>
          <w:rFonts w:ascii="Arial" w:eastAsia="Arial" w:hAnsi="Arial" w:cs="Arial"/>
        </w:rPr>
        <w:t xml:space="preserve"> de las entidades locales.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 xml:space="preserve">    Los ayuntamientos han tenido un notable incremento del gasto, principalmente en el área social para poder atender a muchas familias sin recursos, y también en lo relacionado con el material sanitario y de limpieza en edif</w:t>
      </w:r>
      <w:r>
        <w:rPr>
          <w:rFonts w:ascii="Arial" w:eastAsia="Arial" w:hAnsi="Arial" w:cs="Arial"/>
        </w:rPr>
        <w:t xml:space="preserve">icios públicos y centros de enseñanza.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 xml:space="preserve">    También han sido los ayuntamientos los primeros en crear ayudas a las pequeñas empresas y autónomos, a través de subvenciones y mediante la reducción o supresión de tasas municipales.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 xml:space="preserve">    </w:t>
      </w:r>
      <w:r>
        <w:rPr>
          <w:rFonts w:ascii="Arial" w:eastAsia="Arial" w:hAnsi="Arial" w:cs="Arial"/>
        </w:rPr>
        <w:t xml:space="preserve">Para algunos sectores, como la cultura, la apuesta de las administraciones locales ha sido fundamental para no desaparecer, siempre respetando las medidas sanitarias, pero también asumiendo el sobrecoste de las mismas.  </w:t>
      </w:r>
    </w:p>
    <w:p w:rsidR="00FA7413" w:rsidRDefault="00D712A8">
      <w:pPr>
        <w:spacing w:after="0"/>
        <w:ind w:left="360"/>
      </w:pPr>
      <w:r>
        <w:rPr>
          <w:noProof/>
        </w:rPr>
        <mc:AlternateContent>
          <mc:Choice Requires="wpg">
            <w:drawing>
              <wp:anchor distT="0" distB="0" distL="114300" distR="114300" simplePos="0" relativeHeight="251799552"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20865" name="Group 220865"/>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6126" name="Rectangle 16126"/>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Cód. Validación: 946JAL4TJAGYNDD</w:t>
                              </w:r>
                              <w:r>
                                <w:rPr>
                                  <w:rFonts w:ascii="Arial" w:eastAsia="Arial" w:hAnsi="Arial" w:cs="Arial"/>
                                  <w:sz w:val="12"/>
                                </w:rPr>
                                <w:t xml:space="preserve">M76ZM7ZAYZ | Verificación: https://candelaria.sedelectronica.es/ </w:t>
                              </w:r>
                            </w:p>
                          </w:txbxContent>
                        </wps:txbx>
                        <wps:bodyPr horzOverflow="overflow" vert="horz" lIns="0" tIns="0" rIns="0" bIns="0" rtlCol="0">
                          <a:noAutofit/>
                        </wps:bodyPr>
                      </wps:wsp>
                      <wps:wsp>
                        <wps:cNvPr id="16127" name="Rectangle 16127"/>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137 de 180 </w:t>
                              </w:r>
                            </w:p>
                          </w:txbxContent>
                        </wps:txbx>
                        <wps:bodyPr horzOverflow="overflow" vert="horz" lIns="0" tIns="0" rIns="0" bIns="0" rtlCol="0">
                          <a:noAutofit/>
                        </wps:bodyPr>
                      </wps:wsp>
                    </wpg:wgp>
                  </a:graphicData>
                </a:graphic>
              </wp:anchor>
            </w:drawing>
          </mc:Choice>
          <mc:Fallback xmlns:a="http://schemas.openxmlformats.org/drawingml/2006/main">
            <w:pict>
              <v:group id="Group 220865" style="width:12.7031pt;height:275.586pt;position:absolute;mso-position-horizontal-relative:page;mso-position-horizontal:absolute;margin-left:682.278pt;mso-position-vertical-relative:page;margin-top:536.334pt;" coordsize="1613,34999">
                <v:rect id="Rectangle 16126"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6127"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137 de 180 </w:t>
                        </w:r>
                      </w:p>
                    </w:txbxContent>
                  </v:textbox>
                </v:rect>
                <w10:wrap type="square"/>
              </v:group>
            </w:pict>
          </mc:Fallback>
        </mc:AlternateContent>
      </w: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 xml:space="preserve">    Las administraciones locales también han tenido que recurrir a la subvención a la explo</w:t>
      </w:r>
      <w:r>
        <w:rPr>
          <w:rFonts w:ascii="Arial" w:eastAsia="Arial" w:hAnsi="Arial" w:cs="Arial"/>
        </w:rPr>
        <w:t xml:space="preserve">tación, para salvar la actividad de determinados servicios públicos que contribuyen a la calidad de vida de la ciudadanía, o en el transporte.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 xml:space="preserve">    Sin embargo, todo este incremento del gasto se ha financiado con recursos propios, haciendo una contenció</w:t>
      </w:r>
      <w:r>
        <w:rPr>
          <w:rFonts w:ascii="Arial" w:eastAsia="Arial" w:hAnsi="Arial" w:cs="Arial"/>
        </w:rPr>
        <w:t xml:space="preserve">n y reducción del gasto en otras áreas, o recurriendo al uso del remanente. Sin olvidar que, con el objetivo de impulsar la actividad económica, se ha recurrido a los ahorros para impulsar planes de inversión o planes de empleo. </w:t>
      </w:r>
    </w:p>
    <w:p w:rsidR="00FA7413" w:rsidRDefault="00D712A8">
      <w:pPr>
        <w:spacing w:after="0"/>
        <w:ind w:left="360"/>
      </w:pPr>
      <w:r>
        <w:rPr>
          <w:rFonts w:ascii="Arial" w:eastAsia="Arial" w:hAnsi="Arial" w:cs="Arial"/>
        </w:rPr>
        <w:t xml:space="preserve">  </w:t>
      </w:r>
    </w:p>
    <w:p w:rsidR="00FA7413" w:rsidRDefault="00D712A8">
      <w:pPr>
        <w:spacing w:after="109" w:line="248" w:lineRule="auto"/>
        <w:ind w:left="355" w:right="64" w:hanging="10"/>
        <w:jc w:val="both"/>
      </w:pPr>
      <w:r>
        <w:rPr>
          <w:rFonts w:ascii="Arial" w:eastAsia="Arial" w:hAnsi="Arial" w:cs="Arial"/>
        </w:rPr>
        <w:t xml:space="preserve">    Para los Ayuntamien</w:t>
      </w:r>
      <w:r>
        <w:rPr>
          <w:rFonts w:ascii="Arial" w:eastAsia="Arial" w:hAnsi="Arial" w:cs="Arial"/>
        </w:rPr>
        <w:t xml:space="preserve">tos que no han podido contar con remanente la situación ha sido extremadamente compleja, y con un panorama económico que no parece mejorar a corto plazo, será insostenible. </w:t>
      </w:r>
    </w:p>
    <w:p w:rsidR="00FA7413" w:rsidRDefault="00D712A8">
      <w:pPr>
        <w:spacing w:after="98"/>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 xml:space="preserve">     </w:t>
      </w:r>
      <w:r>
        <w:rPr>
          <w:rFonts w:ascii="Arial" w:eastAsia="Arial" w:hAnsi="Arial" w:cs="Arial"/>
        </w:rPr>
        <w:t>En definitiva, las administraciones locales, han estado en primera línea de batalla, asumiendo todas las medidas y soportando durante ya más de un año un notable incremento del gasto, y un drástico descenso de los ingresos, principalmente en lo que se refi</w:t>
      </w:r>
      <w:r>
        <w:rPr>
          <w:rFonts w:ascii="Arial" w:eastAsia="Arial" w:hAnsi="Arial" w:cs="Arial"/>
        </w:rPr>
        <w:t xml:space="preserve">ere al Fondo Canario de Financiación Municipal y a la Participación en los Tributos del Estado.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 xml:space="preserve">     Alcaldes y alcaldesas, de todas las fuerzas políticas, coinciden que es necesario un nuevo sistema de financiación que mejore la situación actual, y qu</w:t>
      </w:r>
      <w:r>
        <w:rPr>
          <w:rFonts w:ascii="Arial" w:eastAsia="Arial" w:hAnsi="Arial" w:cs="Arial"/>
        </w:rPr>
        <w:t xml:space="preserve">e de esta manera los Ayuntamientos puedan recuperarse mediante el acceso a parte de los fondos asignados a España por la Unión Europea, unos 140.000 millones de euros.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 xml:space="preserve">     Los Ayuntamientos canarios acumulan una pérdida de ingresos en el pasado año de</w:t>
      </w:r>
      <w:r>
        <w:rPr>
          <w:rFonts w:ascii="Arial" w:eastAsia="Arial" w:hAnsi="Arial" w:cs="Arial"/>
        </w:rPr>
        <w:t xml:space="preserve"> más de 300 millones de euros, mientras el incremento de la demanda de familias sin recursos no ha dejado de crecer. En este 2021, la situación ha empeorado notablemente y el incremento del gasto social supera ya el 30% en relación a 2020.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rPr>
        <w:t xml:space="preserve">     Es im</w:t>
      </w:r>
      <w:r>
        <w:rPr>
          <w:rFonts w:ascii="Arial" w:eastAsia="Arial" w:hAnsi="Arial" w:cs="Arial"/>
        </w:rPr>
        <w:t>prescindible, definir un Fondo de Reconstrucción Municipal que ayude a las entidades locales a paliar los efectos de la crisis económica generada por la Covid19, que ayude a mantener la atención a las familias que peor lo están pasando, ya que son los Ayun</w:t>
      </w:r>
      <w:r>
        <w:rPr>
          <w:rFonts w:ascii="Arial" w:eastAsia="Arial" w:hAnsi="Arial" w:cs="Arial"/>
        </w:rPr>
        <w:t xml:space="preserve">tamientos la administración más cercana a la ciudadanía, y a los que le ha tocado emprender diferentes iniciativas de ayuda y protección contra la covid19 sin recibir aún ningún tipo de financiación adicional.  </w:t>
      </w:r>
    </w:p>
    <w:p w:rsidR="00FA7413" w:rsidRDefault="00D712A8">
      <w:pPr>
        <w:spacing w:after="0"/>
        <w:ind w:left="360"/>
      </w:pPr>
      <w:r>
        <w:rPr>
          <w:rFonts w:ascii="Arial" w:eastAsia="Arial" w:hAnsi="Arial" w:cs="Arial"/>
        </w:rPr>
        <w:t xml:space="preserve"> </w:t>
      </w:r>
    </w:p>
    <w:p w:rsidR="00FA7413" w:rsidRDefault="00D712A8">
      <w:pPr>
        <w:spacing w:after="109" w:line="250" w:lineRule="auto"/>
        <w:ind w:left="355" w:hanging="10"/>
      </w:pPr>
      <w:r>
        <w:rPr>
          <w:rFonts w:ascii="Arial" w:eastAsia="Arial" w:hAnsi="Arial" w:cs="Arial"/>
        </w:rPr>
        <w:t xml:space="preserve">     Por todo lo expuesto, </w:t>
      </w:r>
      <w:r>
        <w:rPr>
          <w:rFonts w:ascii="Arial" w:eastAsia="Arial" w:hAnsi="Arial" w:cs="Arial"/>
          <w:color w:val="212121"/>
        </w:rPr>
        <w:t xml:space="preserve">los concejales </w:t>
      </w:r>
      <w:r>
        <w:rPr>
          <w:rFonts w:ascii="Arial" w:eastAsia="Arial" w:hAnsi="Arial" w:cs="Arial"/>
          <w:color w:val="212121"/>
        </w:rPr>
        <w:t>de Coalición Canaria-PNC en el Grupo Mixto someten a la consideración del Pleno del Ayuntamiento de Candelaria los siguientes</w:t>
      </w:r>
      <w:r>
        <w:rPr>
          <w:rFonts w:ascii="Arial" w:eastAsia="Arial" w:hAnsi="Arial" w:cs="Arial"/>
        </w:rPr>
        <w:t xml:space="preserve"> </w:t>
      </w:r>
    </w:p>
    <w:p w:rsidR="00FA7413" w:rsidRDefault="00D712A8">
      <w:pPr>
        <w:spacing w:after="98"/>
        <w:ind w:left="360"/>
      </w:pPr>
      <w:r>
        <w:rPr>
          <w:rFonts w:ascii="Arial" w:eastAsia="Arial" w:hAnsi="Arial" w:cs="Arial"/>
          <w:color w:val="212121"/>
        </w:rPr>
        <w:t xml:space="preserve">  </w:t>
      </w:r>
    </w:p>
    <w:p w:rsidR="00FA7413" w:rsidRDefault="00D712A8">
      <w:pPr>
        <w:spacing w:after="109" w:line="250" w:lineRule="auto"/>
        <w:ind w:left="355" w:hanging="10"/>
      </w:pPr>
      <w:r>
        <w:rPr>
          <w:rFonts w:ascii="Arial" w:eastAsia="Arial" w:hAnsi="Arial" w:cs="Arial"/>
          <w:color w:val="212121"/>
        </w:rPr>
        <w:t>ACUERDOS:</w:t>
      </w: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numPr>
          <w:ilvl w:val="0"/>
          <w:numId w:val="38"/>
        </w:numPr>
        <w:spacing w:after="0" w:line="248" w:lineRule="auto"/>
        <w:ind w:right="64" w:hanging="10"/>
        <w:jc w:val="both"/>
      </w:pPr>
      <w:r>
        <w:rPr>
          <w:rFonts w:ascii="Arial" w:eastAsia="Arial" w:hAnsi="Arial" w:cs="Arial"/>
        </w:rPr>
        <w:t>Instar al Gobierno de España a impulsar el Fondo de Reconstrucción Municipal para paliar los efectos generados po</w:t>
      </w:r>
      <w:r>
        <w:rPr>
          <w:rFonts w:ascii="Arial" w:eastAsia="Arial" w:hAnsi="Arial" w:cs="Arial"/>
        </w:rPr>
        <w:t xml:space="preserve">r la crisis económica y la caída de ingresos. </w:t>
      </w:r>
      <w:r>
        <w:rPr>
          <w:rFonts w:ascii="Arial" w:eastAsia="Arial" w:hAnsi="Arial" w:cs="Arial"/>
          <w:sz w:val="24"/>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numPr>
          <w:ilvl w:val="0"/>
          <w:numId w:val="38"/>
        </w:numPr>
        <w:spacing w:after="19" w:line="248" w:lineRule="auto"/>
        <w:ind w:right="64" w:hanging="10"/>
        <w:jc w:val="both"/>
      </w:pPr>
      <w:r>
        <w:rPr>
          <w:noProof/>
        </w:rPr>
        <mc:AlternateContent>
          <mc:Choice Requires="wpg">
            <w:drawing>
              <wp:anchor distT="0" distB="0" distL="114300" distR="114300" simplePos="0" relativeHeight="251800576"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21581" name="Group 221581"/>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6231" name="Rectangle 16231"/>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6232" name="Rectangle 16232"/>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138 de 180 </w:t>
                              </w:r>
                            </w:p>
                          </w:txbxContent>
                        </wps:txbx>
                        <wps:bodyPr horzOverflow="overflow" vert="horz" lIns="0" tIns="0" rIns="0" bIns="0" rtlCol="0">
                          <a:noAutofit/>
                        </wps:bodyPr>
                      </wps:wsp>
                    </wpg:wgp>
                  </a:graphicData>
                </a:graphic>
              </wp:anchor>
            </w:drawing>
          </mc:Choice>
          <mc:Fallback xmlns:a="http://schemas.openxmlformats.org/drawingml/2006/main">
            <w:pict>
              <v:group id="Group 221581" style="width:12.7031pt;height:275.586pt;position:absolute;mso-position-horizontal-relative:page;mso-position-horizontal:absolute;margin-left:682.278pt;mso-position-vertical-relative:page;margin-top:536.334pt;" coordsize="1613,34999">
                <v:rect id="Rectangle 16231"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6232"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138 de 180 </w:t>
                        </w:r>
                      </w:p>
                    </w:txbxContent>
                  </v:textbox>
                </v:rect>
                <w10:wrap type="square"/>
              </v:group>
            </w:pict>
          </mc:Fallback>
        </mc:AlternateContent>
      </w:r>
      <w:r>
        <w:rPr>
          <w:rFonts w:ascii="Arial" w:eastAsia="Arial" w:hAnsi="Arial" w:cs="Arial"/>
        </w:rPr>
        <w:t xml:space="preserve">Dar traslado del presente acuerdo al Gobierno de España, a los portavoces de los Grupos Políticos en el Congreso y en el Senado, al Parlamento de Canarias, a la FECAM y a la FEMP.” </w:t>
      </w:r>
      <w:r>
        <w:rPr>
          <w:rFonts w:ascii="Arial" w:eastAsia="Arial" w:hAnsi="Arial" w:cs="Arial"/>
          <w:sz w:val="24"/>
        </w:rPr>
        <w:t xml:space="preserve"> </w:t>
      </w:r>
    </w:p>
    <w:p w:rsidR="00FA7413" w:rsidRDefault="00D712A8">
      <w:pPr>
        <w:spacing w:after="98"/>
        <w:ind w:left="360"/>
      </w:pPr>
      <w:r>
        <w:rPr>
          <w:rFonts w:ascii="Arial" w:eastAsia="Arial" w:hAnsi="Arial" w:cs="Arial"/>
        </w:rPr>
        <w:t xml:space="preserve"> </w:t>
      </w:r>
    </w:p>
    <w:p w:rsidR="00FA7413" w:rsidRDefault="00D712A8">
      <w:pPr>
        <w:spacing w:after="98"/>
        <w:ind w:left="360"/>
      </w:pPr>
      <w:r>
        <w:rPr>
          <w:rFonts w:ascii="Arial" w:eastAsia="Arial" w:hAnsi="Arial" w:cs="Arial"/>
        </w:rPr>
        <w:t xml:space="preserve"> </w:t>
      </w:r>
    </w:p>
    <w:p w:rsidR="00FA7413" w:rsidRDefault="00D712A8">
      <w:pPr>
        <w:spacing w:after="5" w:line="253" w:lineRule="auto"/>
        <w:ind w:left="645" w:right="348" w:hanging="10"/>
        <w:jc w:val="center"/>
      </w:pPr>
      <w:r>
        <w:rPr>
          <w:rFonts w:ascii="Arial" w:eastAsia="Arial" w:hAnsi="Arial" w:cs="Arial"/>
        </w:rPr>
        <w:t xml:space="preserve">En Candelaria, a 15 de junio de 2021 </w:t>
      </w:r>
    </w:p>
    <w:p w:rsidR="00FA7413" w:rsidRDefault="00D712A8">
      <w:pPr>
        <w:spacing w:after="5" w:line="253" w:lineRule="auto"/>
        <w:ind w:left="645" w:right="345" w:hanging="10"/>
        <w:jc w:val="center"/>
      </w:pPr>
      <w:r>
        <w:rPr>
          <w:rFonts w:ascii="Arial" w:eastAsia="Arial" w:hAnsi="Arial" w:cs="Arial"/>
        </w:rPr>
        <w:t>Ángela Cruz Perera</w:t>
      </w:r>
      <w:r>
        <w:rPr>
          <w:rFonts w:ascii="Arial" w:eastAsia="Arial" w:hAnsi="Arial" w:cs="Arial"/>
          <w:sz w:val="24"/>
        </w:rPr>
        <w:t xml:space="preserve"> </w:t>
      </w:r>
    </w:p>
    <w:p w:rsidR="00FA7413" w:rsidRDefault="00D712A8">
      <w:pPr>
        <w:spacing w:after="106" w:line="253" w:lineRule="auto"/>
        <w:ind w:left="645" w:right="348" w:hanging="10"/>
        <w:jc w:val="center"/>
      </w:pPr>
      <w:r>
        <w:rPr>
          <w:rFonts w:ascii="Arial" w:eastAsia="Arial" w:hAnsi="Arial" w:cs="Arial"/>
        </w:rPr>
        <w:t xml:space="preserve">Portavoz del grupo municipal de CC-PNC </w:t>
      </w:r>
    </w:p>
    <w:p w:rsidR="00FA7413" w:rsidRDefault="00D712A8">
      <w:pPr>
        <w:spacing w:after="98"/>
        <w:ind w:left="346"/>
        <w:jc w:val="center"/>
      </w:pPr>
      <w:r>
        <w:rPr>
          <w:rFonts w:ascii="Arial" w:eastAsia="Arial" w:hAnsi="Arial" w:cs="Arial"/>
        </w:rPr>
        <w:t xml:space="preserve"> </w:t>
      </w:r>
    </w:p>
    <w:p w:rsidR="00FA7413" w:rsidRDefault="00D712A8">
      <w:pPr>
        <w:spacing w:after="98"/>
        <w:ind w:left="346"/>
        <w:jc w:val="center"/>
      </w:pPr>
      <w:r>
        <w:rPr>
          <w:rFonts w:ascii="Arial" w:eastAsia="Arial" w:hAnsi="Arial" w:cs="Arial"/>
        </w:rPr>
        <w:t xml:space="preserve"> </w:t>
      </w:r>
    </w:p>
    <w:p w:rsidR="00FA7413" w:rsidRDefault="00D712A8">
      <w:pPr>
        <w:spacing w:after="100"/>
        <w:ind w:left="282"/>
        <w:jc w:val="center"/>
      </w:pPr>
      <w:r>
        <w:rPr>
          <w:rFonts w:ascii="Arial" w:eastAsia="Arial" w:hAnsi="Arial" w:cs="Arial"/>
          <w:color w:val="0E233D"/>
        </w:rPr>
        <w:t>SRA. ALCALDESA-PRESIDENTA DEL ILUSTRE AYTO DE LA VILLA DE CANDELARIA</w:t>
      </w: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2" w:hanging="10"/>
        <w:jc w:val="both"/>
      </w:pPr>
      <w:r>
        <w:rPr>
          <w:rFonts w:ascii="Arial" w:eastAsia="Arial" w:hAnsi="Arial" w:cs="Arial"/>
          <w:b/>
        </w:rPr>
        <w:t xml:space="preserve">DICTAMEN FAVORABLE DE LA COMISIÓN INFORMATIVA DE HACIENDA, RECURSOS HUMANOS Y SERVICIOS GENERALES DE 21 DE JUNIO DE 2021.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355" w:right="64" w:hanging="10"/>
        <w:jc w:val="both"/>
      </w:pPr>
      <w:r>
        <w:rPr>
          <w:rFonts w:ascii="Arial" w:eastAsia="Arial" w:hAnsi="Arial" w:cs="Arial"/>
        </w:rPr>
        <w:t xml:space="preserve">Votos a favor: 1. </w:t>
      </w:r>
    </w:p>
    <w:p w:rsidR="00FA7413" w:rsidRDefault="00D712A8">
      <w:pPr>
        <w:spacing w:after="11" w:line="248" w:lineRule="auto"/>
        <w:ind w:left="355" w:right="64" w:hanging="10"/>
        <w:jc w:val="both"/>
      </w:pPr>
      <w:r>
        <w:rPr>
          <w:rFonts w:ascii="Arial" w:eastAsia="Arial" w:hAnsi="Arial" w:cs="Arial"/>
        </w:rPr>
        <w:t xml:space="preserve">1 de la concejal del Grupo Mixto (CC-PNC), Doña Ángela Cruz Perera.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Votos en contra: 0.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Abstenciones: 6. </w:t>
      </w:r>
    </w:p>
    <w:p w:rsidR="00FA7413" w:rsidRDefault="00D712A8">
      <w:pPr>
        <w:spacing w:after="0" w:line="248" w:lineRule="auto"/>
        <w:ind w:left="355" w:right="64" w:hanging="10"/>
        <w:jc w:val="both"/>
      </w:pPr>
      <w:r>
        <w:rPr>
          <w:rFonts w:ascii="Arial" w:eastAsia="Arial" w:hAnsi="Arial" w:cs="Arial"/>
        </w:rPr>
        <w:t>4 concejales del Grupo Socialista: Don Airam Pérez Chinea, Don José Francisco Pinto Ramos, Doña Hilaria Cecilia Otazo Gonzále</w:t>
      </w:r>
      <w:r>
        <w:rPr>
          <w:rFonts w:ascii="Arial" w:eastAsia="Arial" w:hAnsi="Arial" w:cs="Arial"/>
        </w:rPr>
        <w:t xml:space="preserve">z y Doña Margarita Eva Tendero Barroso.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1 de la concejal del Grupo Popular, Doña Raquel Martín Castro.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1 de la concejal del Grupo Mixto (SSP), Doña Lourdes del Carmen Mondéjar Rondón. </w:t>
      </w:r>
    </w:p>
    <w:p w:rsidR="00FA7413" w:rsidRDefault="00D712A8">
      <w:pPr>
        <w:spacing w:after="11" w:line="248" w:lineRule="auto"/>
        <w:ind w:left="355" w:right="62" w:hanging="10"/>
        <w:jc w:val="both"/>
      </w:pPr>
      <w:r>
        <w:rPr>
          <w:rFonts w:ascii="Arial" w:eastAsia="Arial" w:hAnsi="Arial" w:cs="Arial"/>
          <w:b/>
        </w:rPr>
        <w:t xml:space="preserve"> JUNTA DE PORTAVOCES DE 21 DE JUNIO DE 2021.  </w:t>
      </w:r>
    </w:p>
    <w:p w:rsidR="00FA7413" w:rsidRDefault="00D712A8">
      <w:pPr>
        <w:spacing w:after="11" w:line="248" w:lineRule="auto"/>
        <w:ind w:left="355" w:right="64" w:hanging="10"/>
        <w:jc w:val="both"/>
      </w:pPr>
      <w:r>
        <w:rPr>
          <w:rFonts w:ascii="Arial" w:eastAsia="Arial" w:hAnsi="Arial" w:cs="Arial"/>
        </w:rPr>
        <w:t xml:space="preserve">Quedó oída.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Du</w:t>
      </w:r>
      <w:r>
        <w:rPr>
          <w:rFonts w:ascii="Arial" w:eastAsia="Arial" w:hAnsi="Arial" w:cs="Arial"/>
          <w:b/>
        </w:rPr>
        <w:t xml:space="preserve">rante el Pleno se introduce una enmienda por el Grupo Socialista que transcrita literalmente dice: </w:t>
      </w:r>
    </w:p>
    <w:p w:rsidR="00FA7413" w:rsidRDefault="00D712A8">
      <w:pPr>
        <w:spacing w:after="0"/>
        <w:ind w:left="360"/>
      </w:pPr>
      <w:r>
        <w:rPr>
          <w:rFonts w:ascii="Arial" w:eastAsia="Arial" w:hAnsi="Arial" w:cs="Arial"/>
          <w:b/>
        </w:rPr>
        <w:t xml:space="preserve"> </w:t>
      </w:r>
    </w:p>
    <w:p w:rsidR="00FA7413" w:rsidRDefault="00D712A8">
      <w:pPr>
        <w:spacing w:after="0" w:line="247" w:lineRule="auto"/>
        <w:ind w:left="355" w:right="62" w:hanging="10"/>
        <w:jc w:val="both"/>
      </w:pPr>
      <w:r>
        <w:rPr>
          <w:rFonts w:ascii="Arial" w:eastAsia="Arial" w:hAnsi="Arial" w:cs="Arial"/>
          <w:i/>
        </w:rPr>
        <w:t xml:space="preserve">1.- </w:t>
      </w:r>
      <w:r>
        <w:rPr>
          <w:rFonts w:ascii="Arial" w:eastAsia="Arial" w:hAnsi="Arial" w:cs="Arial"/>
          <w:i/>
        </w:rPr>
        <w:t xml:space="preserve">Adherirnos a la solicitud y apoyar las gestiones desarrolladas por la FECAM en el ámbito de la clarificación de competencias municipales y la reivindicación de un nuevo marco de financiación local; así como en la petición de un Fondo de Contingencia Covid </w:t>
      </w:r>
      <w:r>
        <w:rPr>
          <w:rFonts w:ascii="Arial" w:eastAsia="Arial" w:hAnsi="Arial" w:cs="Arial"/>
          <w:i/>
        </w:rPr>
        <w:t xml:space="preserve">y la gestión directa de fondos europeos vinculados al Fondo de Recuperación y Resilencia. </w:t>
      </w:r>
    </w:p>
    <w:p w:rsidR="00FA7413" w:rsidRDefault="00D712A8">
      <w:pPr>
        <w:spacing w:after="0"/>
        <w:ind w:left="360"/>
      </w:pPr>
      <w:r>
        <w:rPr>
          <w:rFonts w:ascii="Arial" w:eastAsia="Arial" w:hAnsi="Arial" w:cs="Arial"/>
          <w:i/>
        </w:rPr>
        <w:t xml:space="preserve"> </w:t>
      </w:r>
    </w:p>
    <w:p w:rsidR="00FA7413" w:rsidRDefault="00D712A8">
      <w:pPr>
        <w:spacing w:after="11" w:line="247" w:lineRule="auto"/>
        <w:ind w:left="355" w:right="62" w:hanging="10"/>
        <w:jc w:val="both"/>
      </w:pPr>
      <w:r>
        <w:rPr>
          <w:rFonts w:ascii="Arial" w:eastAsia="Arial" w:hAnsi="Arial" w:cs="Arial"/>
          <w:i/>
        </w:rPr>
        <w:t xml:space="preserve">2.- Trasladar el acuerdo a la FECAM y a la FEMP.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355" w:right="62" w:hanging="10"/>
        <w:jc w:val="both"/>
      </w:pPr>
      <w:r>
        <w:rPr>
          <w:rFonts w:ascii="Arial" w:eastAsia="Arial" w:hAnsi="Arial" w:cs="Arial"/>
          <w:b/>
        </w:rPr>
        <w:t xml:space="preserve">VOTACIÓN EN EL PLENO DE 24 DE JUNIO DE 2021.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355" w:right="64" w:hanging="10"/>
        <w:jc w:val="both"/>
      </w:pPr>
      <w:r>
        <w:rPr>
          <w:rFonts w:ascii="Arial" w:eastAsia="Arial" w:hAnsi="Arial" w:cs="Arial"/>
        </w:rPr>
        <w:t xml:space="preserve">Votos a favor: 16. </w:t>
      </w:r>
    </w:p>
    <w:p w:rsidR="00FA7413" w:rsidRDefault="00D712A8">
      <w:pPr>
        <w:spacing w:after="109" w:line="248" w:lineRule="auto"/>
        <w:ind w:left="345" w:right="64" w:firstLine="708"/>
        <w:jc w:val="both"/>
      </w:pPr>
      <w:r>
        <w:rPr>
          <w:noProof/>
        </w:rPr>
        <mc:AlternateContent>
          <mc:Choice Requires="wpg">
            <w:drawing>
              <wp:anchor distT="0" distB="0" distL="114300" distR="114300" simplePos="0" relativeHeight="251801600"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20591" name="Group 220591"/>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6357" name="Rectangle 16357"/>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Cód. Validación: 946JAL4TJAGYNDDM76ZM7</w:t>
                              </w:r>
                              <w:r>
                                <w:rPr>
                                  <w:rFonts w:ascii="Arial" w:eastAsia="Arial" w:hAnsi="Arial" w:cs="Arial"/>
                                  <w:sz w:val="12"/>
                                </w:rPr>
                                <w:t xml:space="preserve">ZAYZ | Verificación: https://candelaria.sedelectronica.es/ </w:t>
                              </w:r>
                            </w:p>
                          </w:txbxContent>
                        </wps:txbx>
                        <wps:bodyPr horzOverflow="overflow" vert="horz" lIns="0" tIns="0" rIns="0" bIns="0" rtlCol="0">
                          <a:noAutofit/>
                        </wps:bodyPr>
                      </wps:wsp>
                      <wps:wsp>
                        <wps:cNvPr id="16358" name="Rectangle 16358"/>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139 de 180 </w:t>
                              </w:r>
                            </w:p>
                          </w:txbxContent>
                        </wps:txbx>
                        <wps:bodyPr horzOverflow="overflow" vert="horz" lIns="0" tIns="0" rIns="0" bIns="0" rtlCol="0">
                          <a:noAutofit/>
                        </wps:bodyPr>
                      </wps:wsp>
                    </wpg:wgp>
                  </a:graphicData>
                </a:graphic>
              </wp:anchor>
            </w:drawing>
          </mc:Choice>
          <mc:Fallback xmlns:a="http://schemas.openxmlformats.org/drawingml/2006/main">
            <w:pict>
              <v:group id="Group 220591" style="width:12.7031pt;height:275.586pt;position:absolute;mso-position-horizontal-relative:page;mso-position-horizontal:absolute;margin-left:682.278pt;mso-position-vertical-relative:page;margin-top:536.334pt;" coordsize="1613,34999">
                <v:rect id="Rectangle 16357"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6358"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139 de 180 </w:t>
                        </w:r>
                      </w:p>
                    </w:txbxContent>
                  </v:textbox>
                </v:rect>
                <w10:wrap type="square"/>
              </v:group>
            </w:pict>
          </mc:Fallback>
        </mc:AlternateContent>
      </w:r>
      <w:r>
        <w:rPr>
          <w:rFonts w:ascii="Arial" w:eastAsia="Arial" w:hAnsi="Arial" w:cs="Arial"/>
        </w:rPr>
        <w:t>11 concejales del Grupo Socialista: Doña María Concepción Brito Núñez, Don Jorge Baute Delgado, Doña Olivia Concepción Pérez Díaz, Don José Francisco Pinto Ramos, Doña Hilaria Cecilia Otazo González, Don Airam Pérez Chinea, Doña Margarita Eva Tendero Barro</w:t>
      </w:r>
      <w:r>
        <w:rPr>
          <w:rFonts w:ascii="Arial" w:eastAsia="Arial" w:hAnsi="Arial" w:cs="Arial"/>
        </w:rPr>
        <w:t xml:space="preserve">so, Don Manuel Alberto González Pestano, Doña María del Carmen Clemente Díaz, Don Olegario Francisco Alonso Bello y Don Reinaldo José Triviño Blanco. </w:t>
      </w:r>
    </w:p>
    <w:p w:rsidR="00FA7413" w:rsidRDefault="00D712A8">
      <w:pPr>
        <w:numPr>
          <w:ilvl w:val="0"/>
          <w:numId w:val="39"/>
        </w:numPr>
        <w:spacing w:after="109" w:line="248" w:lineRule="auto"/>
        <w:ind w:right="64" w:firstLine="708"/>
        <w:jc w:val="both"/>
      </w:pPr>
      <w:r>
        <w:rPr>
          <w:rFonts w:ascii="Arial" w:eastAsia="Arial" w:hAnsi="Arial" w:cs="Arial"/>
        </w:rPr>
        <w:t xml:space="preserve">concejales del Grupo Popular: Don Andrés Rodríguez Delgado y Don Jacobo López Fariña. </w:t>
      </w:r>
    </w:p>
    <w:p w:rsidR="00FA7413" w:rsidRDefault="00D712A8">
      <w:pPr>
        <w:numPr>
          <w:ilvl w:val="0"/>
          <w:numId w:val="39"/>
        </w:numPr>
        <w:spacing w:after="109" w:line="248" w:lineRule="auto"/>
        <w:ind w:right="64" w:firstLine="708"/>
        <w:jc w:val="both"/>
      </w:pPr>
      <w:r>
        <w:rPr>
          <w:rFonts w:ascii="Arial" w:eastAsia="Arial" w:hAnsi="Arial" w:cs="Arial"/>
        </w:rPr>
        <w:t xml:space="preserve">de los concejales del Grupo Mixto: Don Antonio Delgado García y Doña Lourdes del Carmen Mondéjar Rondón (SSP) y Doña Ángela Cruz Perera (CC). </w:t>
      </w:r>
    </w:p>
    <w:p w:rsidR="00FA7413" w:rsidRDefault="00D712A8">
      <w:pPr>
        <w:spacing w:after="11" w:line="248" w:lineRule="auto"/>
        <w:ind w:left="355" w:right="64" w:hanging="10"/>
        <w:jc w:val="both"/>
      </w:pPr>
      <w:r>
        <w:rPr>
          <w:rFonts w:ascii="Arial" w:eastAsia="Arial" w:hAnsi="Arial" w:cs="Arial"/>
        </w:rPr>
        <w:t xml:space="preserve">Votos en contra: 0. </w:t>
      </w:r>
    </w:p>
    <w:p w:rsidR="00FA7413" w:rsidRDefault="00D712A8">
      <w:pPr>
        <w:spacing w:after="11" w:line="248" w:lineRule="auto"/>
        <w:ind w:left="355" w:right="64" w:hanging="10"/>
        <w:jc w:val="both"/>
      </w:pPr>
      <w:r>
        <w:rPr>
          <w:rFonts w:ascii="Arial" w:eastAsia="Arial" w:hAnsi="Arial" w:cs="Arial"/>
        </w:rPr>
        <w:t xml:space="preserve">Abstenciones: 1. </w:t>
      </w:r>
    </w:p>
    <w:p w:rsidR="00FA7413" w:rsidRDefault="00D712A8">
      <w:pPr>
        <w:spacing w:after="0"/>
        <w:ind w:left="360"/>
      </w:pPr>
      <w:r>
        <w:rPr>
          <w:rFonts w:ascii="Arial" w:eastAsia="Arial" w:hAnsi="Arial" w:cs="Arial"/>
          <w:b/>
        </w:rPr>
        <w:t xml:space="preserve"> </w:t>
      </w:r>
    </w:p>
    <w:p w:rsidR="00FA7413" w:rsidRDefault="00D712A8">
      <w:pPr>
        <w:spacing w:after="109" w:line="248" w:lineRule="auto"/>
        <w:ind w:left="355" w:right="64" w:hanging="10"/>
        <w:jc w:val="both"/>
      </w:pPr>
      <w:r>
        <w:rPr>
          <w:rFonts w:ascii="Arial" w:eastAsia="Arial" w:hAnsi="Arial" w:cs="Arial"/>
        </w:rPr>
        <w:t>1 de la concejal del Grupo Mixto (VxC): Doña Alicia Mercedes Marrero Men</w:t>
      </w:r>
      <w:r>
        <w:rPr>
          <w:rFonts w:ascii="Arial" w:eastAsia="Arial" w:hAnsi="Arial" w:cs="Arial"/>
        </w:rPr>
        <w:t xml:space="preserve">eses.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1789" w:right="62" w:hanging="10"/>
        <w:jc w:val="both"/>
      </w:pPr>
      <w:r>
        <w:rPr>
          <w:rFonts w:ascii="Arial" w:eastAsia="Arial" w:hAnsi="Arial" w:cs="Arial"/>
          <w:b/>
        </w:rPr>
        <w:t xml:space="preserve">ACUERDO DEL PLENO DE 24 DE JUNIO DE 2021. </w:t>
      </w:r>
    </w:p>
    <w:p w:rsidR="00FA7413" w:rsidRDefault="00D712A8">
      <w:pPr>
        <w:spacing w:after="95"/>
        <w:ind w:left="360"/>
      </w:pPr>
      <w:r>
        <w:rPr>
          <w:rFonts w:ascii="Arial" w:eastAsia="Arial" w:hAnsi="Arial" w:cs="Arial"/>
        </w:rPr>
        <w:t xml:space="preserve"> </w:t>
      </w:r>
    </w:p>
    <w:p w:rsidR="00FA7413" w:rsidRDefault="00D712A8">
      <w:pPr>
        <w:spacing w:after="0" w:line="248" w:lineRule="auto"/>
        <w:ind w:left="355" w:right="62" w:hanging="10"/>
        <w:jc w:val="both"/>
      </w:pPr>
      <w:r>
        <w:rPr>
          <w:rFonts w:ascii="Arial" w:eastAsia="Arial" w:hAnsi="Arial" w:cs="Arial"/>
          <w:b/>
        </w:rPr>
        <w:t xml:space="preserve">1.- Adherirnos a la solicitud y apoyar las gestiones desarrolladas por la Federación Canaria de Municipios (FECAM) en el ámbito de la clarificación de competencias municipales y la reivindicación de un </w:t>
      </w:r>
      <w:r>
        <w:rPr>
          <w:rFonts w:ascii="Arial" w:eastAsia="Arial" w:hAnsi="Arial" w:cs="Arial"/>
          <w:b/>
        </w:rPr>
        <w:t xml:space="preserve">nuevo marco de financiación local; así como en la petición de un Fondo de Contingencia Covid y la gestión directa de fondos europeos vinculados al Fondo de Recuperación y Resilencia.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2.- Trasladar el acuerdo a la Federación Canaria de Municipios (FECAM)</w:t>
      </w:r>
      <w:r>
        <w:rPr>
          <w:rFonts w:ascii="Arial" w:eastAsia="Arial" w:hAnsi="Arial" w:cs="Arial"/>
          <w:b/>
        </w:rPr>
        <w:t xml:space="preserve"> y a la Federación Española de Municipios y Provincias (FEMP).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10" w:line="249" w:lineRule="auto"/>
        <w:ind w:left="355" w:right="66" w:hanging="10"/>
        <w:jc w:val="both"/>
      </w:pPr>
      <w:r>
        <w:rPr>
          <w:rFonts w:ascii="Arial" w:eastAsia="Arial" w:hAnsi="Arial" w:cs="Arial"/>
          <w:b/>
          <w:sz w:val="24"/>
        </w:rPr>
        <w:t xml:space="preserve">16.- URGENCIAS </w:t>
      </w:r>
    </w:p>
    <w:p w:rsidR="00FA7413" w:rsidRDefault="00D712A8">
      <w:pPr>
        <w:spacing w:after="0"/>
        <w:ind w:left="360"/>
      </w:pPr>
      <w:r>
        <w:rPr>
          <w:rFonts w:ascii="Arial" w:eastAsia="Arial" w:hAnsi="Arial" w:cs="Arial"/>
          <w:b/>
          <w:sz w:val="24"/>
        </w:rPr>
        <w:t xml:space="preserve"> </w:t>
      </w:r>
    </w:p>
    <w:p w:rsidR="00FA7413" w:rsidRDefault="00D712A8">
      <w:pPr>
        <w:spacing w:after="0"/>
        <w:ind w:left="360"/>
      </w:pPr>
      <w:r>
        <w:rPr>
          <w:rFonts w:ascii="Arial" w:eastAsia="Arial" w:hAnsi="Arial" w:cs="Arial"/>
          <w:b/>
          <w:sz w:val="24"/>
        </w:rPr>
        <w:t xml:space="preserve"> </w:t>
      </w:r>
    </w:p>
    <w:p w:rsidR="00FA7413" w:rsidRDefault="00D712A8">
      <w:pPr>
        <w:spacing w:after="93" w:line="249" w:lineRule="auto"/>
        <w:ind w:left="355" w:right="66" w:hanging="10"/>
        <w:jc w:val="both"/>
      </w:pPr>
      <w:r>
        <w:rPr>
          <w:rFonts w:ascii="Arial" w:eastAsia="Arial" w:hAnsi="Arial" w:cs="Arial"/>
          <w:b/>
          <w:sz w:val="24"/>
        </w:rPr>
        <w:t>17.-</w:t>
      </w:r>
      <w:r>
        <w:rPr>
          <w:rFonts w:ascii="Arial" w:eastAsia="Arial" w:hAnsi="Arial" w:cs="Arial"/>
          <w:sz w:val="24"/>
        </w:rPr>
        <w:t xml:space="preserve">  </w:t>
      </w:r>
      <w:r>
        <w:rPr>
          <w:rFonts w:ascii="Arial" w:eastAsia="Arial" w:hAnsi="Arial" w:cs="Arial"/>
          <w:b/>
          <w:sz w:val="24"/>
        </w:rPr>
        <w:t>Expediente 7048/2019. Dación de cuenta del Decreto 1544/2021, de fecha 2 de junio de 2021 por el que se da cumplimiento al abono de las cantidades debidas a una trabajadora en sentencia firme de 17 de diciembre de 2019 y se cumple con el auto de 25 de mayo</w:t>
      </w:r>
      <w:r>
        <w:rPr>
          <w:rFonts w:ascii="Arial" w:eastAsia="Arial" w:hAnsi="Arial" w:cs="Arial"/>
          <w:b/>
          <w:sz w:val="24"/>
        </w:rPr>
        <w:t xml:space="preserve"> de 2021 del Juzgado de lo Social nº 6 (PO 87/2019).</w:t>
      </w:r>
      <w:r>
        <w:rPr>
          <w:rFonts w:ascii="Arial" w:eastAsia="Arial" w:hAnsi="Arial" w:cs="Arial"/>
          <w:sz w:val="24"/>
        </w:rPr>
        <w:t xml:space="preserve"> </w:t>
      </w:r>
    </w:p>
    <w:p w:rsidR="00FA7413" w:rsidRDefault="00D712A8">
      <w:pPr>
        <w:spacing w:after="79"/>
        <w:ind w:left="360"/>
      </w:pPr>
      <w:r>
        <w:rPr>
          <w:rFonts w:ascii="Arial" w:eastAsia="Arial" w:hAnsi="Arial" w:cs="Arial"/>
          <w:b/>
          <w:sz w:val="24"/>
        </w:rPr>
        <w:t xml:space="preserve"> </w:t>
      </w:r>
    </w:p>
    <w:p w:rsidR="00FA7413" w:rsidRDefault="00D712A8">
      <w:pPr>
        <w:spacing w:after="112" w:line="248" w:lineRule="auto"/>
        <w:ind w:left="355" w:right="62" w:hanging="10"/>
        <w:jc w:val="both"/>
      </w:pPr>
      <w:r>
        <w:rPr>
          <w:rFonts w:ascii="Arial" w:eastAsia="Arial" w:hAnsi="Arial" w:cs="Arial"/>
          <w:b/>
        </w:rPr>
        <w:t xml:space="preserve">1.- Consta en el expediente el Decreto 1544/2021, de fecha 2 de junio de 2021, que transcrito literalmente dice: </w:t>
      </w:r>
    </w:p>
    <w:p w:rsidR="00FA7413" w:rsidRDefault="00D712A8">
      <w:pPr>
        <w:spacing w:after="137"/>
        <w:ind w:left="360"/>
      </w:pPr>
      <w:r>
        <w:rPr>
          <w:rFonts w:ascii="Arial" w:eastAsia="Arial" w:hAnsi="Arial" w:cs="Arial"/>
          <w:b/>
        </w:rPr>
        <w:t xml:space="preserve"> </w:t>
      </w:r>
    </w:p>
    <w:p w:rsidR="00FA7413" w:rsidRDefault="00D712A8">
      <w:pPr>
        <w:pStyle w:val="Ttulo1"/>
        <w:spacing w:after="98"/>
        <w:ind w:left="300" w:right="7"/>
      </w:pPr>
      <w:r>
        <w:rPr>
          <w:u w:val="single" w:color="000000"/>
        </w:rPr>
        <w:t>“DECRETO</w:t>
      </w:r>
      <w:r>
        <w:rPr>
          <w:b w:val="0"/>
        </w:rPr>
        <w:t xml:space="preserve"> </w:t>
      </w:r>
    </w:p>
    <w:p w:rsidR="00FA7413" w:rsidRDefault="00D712A8">
      <w:pPr>
        <w:spacing w:after="112" w:line="248" w:lineRule="auto"/>
        <w:ind w:left="355" w:right="62" w:hanging="10"/>
        <w:jc w:val="both"/>
      </w:pPr>
      <w:r>
        <w:rPr>
          <w:rFonts w:ascii="Arial" w:eastAsia="Arial" w:hAnsi="Arial" w:cs="Arial"/>
          <w:b/>
        </w:rPr>
        <w:t>Visto el informe jurídico con propuesta de resolución firmado por Doña Hel</w:t>
      </w:r>
      <w:r>
        <w:rPr>
          <w:rFonts w:ascii="Arial" w:eastAsia="Arial" w:hAnsi="Arial" w:cs="Arial"/>
          <w:b/>
        </w:rPr>
        <w:t>ena Larrinaga Doval, Técnica de Administración General, debidamente conformado por el funcionario con habilitación nacional, D. Nicolás Rojo Garnica, que transcrito literalmente dice:</w:t>
      </w:r>
      <w:r>
        <w:rPr>
          <w:rFonts w:ascii="Arial" w:eastAsia="Arial" w:hAnsi="Arial" w:cs="Arial"/>
        </w:rPr>
        <w:t xml:space="preserve">                                                 </w:t>
      </w:r>
    </w:p>
    <w:p w:rsidR="00FA7413" w:rsidRDefault="00D712A8">
      <w:pPr>
        <w:pStyle w:val="Ttulo2"/>
        <w:ind w:left="1013" w:right="716"/>
      </w:pPr>
      <w:r>
        <w:rPr>
          <w:noProof/>
        </w:rPr>
        <mc:AlternateContent>
          <mc:Choice Requires="wpg">
            <w:drawing>
              <wp:anchor distT="0" distB="0" distL="114300" distR="114300" simplePos="0" relativeHeight="251802624"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21169" name="Group 221169"/>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6495" name="Rectangle 16495"/>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Cód. Validación: 946</w:t>
                              </w:r>
                              <w:r>
                                <w:rPr>
                                  <w:rFonts w:ascii="Arial" w:eastAsia="Arial" w:hAnsi="Arial" w:cs="Arial"/>
                                  <w:sz w:val="12"/>
                                </w:rPr>
                                <w:t xml:space="preserve">JAL4TJAGYNDDM76ZM7ZAYZ | Verificación: https://candelaria.sedelectronica.es/ </w:t>
                              </w:r>
                            </w:p>
                          </w:txbxContent>
                        </wps:txbx>
                        <wps:bodyPr horzOverflow="overflow" vert="horz" lIns="0" tIns="0" rIns="0" bIns="0" rtlCol="0">
                          <a:noAutofit/>
                        </wps:bodyPr>
                      </wps:wsp>
                      <wps:wsp>
                        <wps:cNvPr id="16496" name="Rectangle 16496"/>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140 de 180 </w:t>
                              </w:r>
                            </w:p>
                          </w:txbxContent>
                        </wps:txbx>
                        <wps:bodyPr horzOverflow="overflow" vert="horz" lIns="0" tIns="0" rIns="0" bIns="0" rtlCol="0">
                          <a:noAutofit/>
                        </wps:bodyPr>
                      </wps:wsp>
                    </wpg:wgp>
                  </a:graphicData>
                </a:graphic>
              </wp:anchor>
            </w:drawing>
          </mc:Choice>
          <mc:Fallback xmlns:a="http://schemas.openxmlformats.org/drawingml/2006/main">
            <w:pict>
              <v:group id="Group 221169" style="width:12.7031pt;height:275.586pt;position:absolute;mso-position-horizontal-relative:page;mso-position-horizontal:absolute;margin-left:682.278pt;mso-position-vertical-relative:page;margin-top:536.334pt;" coordsize="1613,34999">
                <v:rect id="Rectangle 16495"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6496"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140 de 180 </w:t>
                        </w:r>
                      </w:p>
                    </w:txbxContent>
                  </v:textbox>
                </v:rect>
                <w10:wrap type="square"/>
              </v:group>
            </w:pict>
          </mc:Fallback>
        </mc:AlternateContent>
      </w:r>
      <w:r>
        <w:t xml:space="preserve">Antecedentes de hecho </w:t>
      </w:r>
    </w:p>
    <w:p w:rsidR="00FA7413" w:rsidRDefault="00D712A8">
      <w:pPr>
        <w:spacing w:after="11" w:line="248" w:lineRule="auto"/>
        <w:ind w:left="355" w:hanging="10"/>
        <w:jc w:val="both"/>
      </w:pPr>
      <w:r>
        <w:rPr>
          <w:rFonts w:ascii="Arial" w:eastAsia="Arial" w:hAnsi="Arial" w:cs="Arial"/>
          <w:b/>
        </w:rPr>
        <w:t>PRIMERO</w:t>
      </w:r>
      <w:r>
        <w:rPr>
          <w:rFonts w:ascii="Arial" w:eastAsia="Arial" w:hAnsi="Arial" w:cs="Arial"/>
        </w:rPr>
        <w:t xml:space="preserve"> </w:t>
      </w:r>
      <w:r>
        <w:rPr>
          <w:rFonts w:ascii="Arial" w:eastAsia="Arial" w:hAnsi="Arial" w:cs="Arial"/>
        </w:rPr>
        <w:t xml:space="preserve">Vista sentencia que se indica a continuación del Juzgado de lo Social número 6 de Santa </w:t>
      </w:r>
    </w:p>
    <w:p w:rsidR="00FA7413" w:rsidRDefault="00D712A8">
      <w:pPr>
        <w:spacing w:after="11" w:line="248" w:lineRule="auto"/>
        <w:ind w:left="355" w:right="64" w:hanging="10"/>
        <w:jc w:val="both"/>
      </w:pPr>
      <w:r>
        <w:rPr>
          <w:rFonts w:ascii="Arial" w:eastAsia="Arial" w:hAnsi="Arial" w:cs="Arial"/>
        </w:rPr>
        <w:t>Cruz de Tenerife</w:t>
      </w:r>
      <w:r>
        <w:rPr>
          <w:rFonts w:ascii="Times New Roman" w:eastAsia="Times New Roman" w:hAnsi="Times New Roman" w:cs="Times New Roman"/>
          <w:sz w:val="24"/>
        </w:rPr>
        <w:t xml:space="preserve"> </w: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spacing w:after="0"/>
        <w:ind w:right="1057"/>
        <w:jc w:val="right"/>
      </w:pPr>
      <w:r>
        <w:rPr>
          <w:noProof/>
        </w:rPr>
        <w:drawing>
          <wp:inline distT="0" distB="0" distL="0" distR="0">
            <wp:extent cx="5410200" cy="2308860"/>
            <wp:effectExtent l="0" t="0" r="0" b="0"/>
            <wp:docPr id="16492" name="Picture 16492"/>
            <wp:cNvGraphicFramePr/>
            <a:graphic xmlns:a="http://schemas.openxmlformats.org/drawingml/2006/main">
              <a:graphicData uri="http://schemas.openxmlformats.org/drawingml/2006/picture">
                <pic:pic xmlns:pic="http://schemas.openxmlformats.org/drawingml/2006/picture">
                  <pic:nvPicPr>
                    <pic:cNvPr id="16492" name="Picture 16492"/>
                    <pic:cNvPicPr/>
                  </pic:nvPicPr>
                  <pic:blipFill>
                    <a:blip r:embed="rId24"/>
                    <a:stretch>
                      <a:fillRect/>
                    </a:stretch>
                  </pic:blipFill>
                  <pic:spPr>
                    <a:xfrm>
                      <a:off x="0" y="0"/>
                      <a:ext cx="5410200" cy="2308860"/>
                    </a:xfrm>
                    <a:prstGeom prst="rect">
                      <a:avLst/>
                    </a:prstGeom>
                  </pic:spPr>
                </pic:pic>
              </a:graphicData>
            </a:graphic>
          </wp:inline>
        </w:drawing>
      </w:r>
      <w:r>
        <w:rPr>
          <w:rFonts w:ascii="Times New Roman" w:eastAsia="Times New Roman" w:hAnsi="Times New Roman" w:cs="Times New Roman"/>
          <w:sz w:val="24"/>
        </w:rPr>
        <w:t xml:space="preserve"> </w: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spacing w:after="109" w:line="248" w:lineRule="auto"/>
        <w:ind w:left="355" w:right="64" w:hanging="10"/>
        <w:jc w:val="both"/>
      </w:pPr>
      <w:r>
        <w:rPr>
          <w:rFonts w:ascii="Arial" w:eastAsia="Arial" w:hAnsi="Arial" w:cs="Arial"/>
        </w:rPr>
        <w:t xml:space="preserve">cuyo fallo dispone: </w:t>
      </w:r>
    </w:p>
    <w:p w:rsidR="00FA7413" w:rsidRDefault="00D712A8">
      <w:pPr>
        <w:spacing w:after="0"/>
        <w:ind w:right="1208"/>
        <w:jc w:val="right"/>
      </w:pPr>
      <w:r>
        <w:rPr>
          <w:noProof/>
        </w:rPr>
        <mc:AlternateContent>
          <mc:Choice Requires="wpg">
            <w:drawing>
              <wp:inline distT="0" distB="0" distL="0" distR="0">
                <wp:extent cx="5309616" cy="2860574"/>
                <wp:effectExtent l="0" t="0" r="0" b="0"/>
                <wp:docPr id="220320" name="Group 220320"/>
                <wp:cNvGraphicFramePr/>
                <a:graphic xmlns:a="http://schemas.openxmlformats.org/drawingml/2006/main">
                  <a:graphicData uri="http://schemas.microsoft.com/office/word/2010/wordprocessingGroup">
                    <wpg:wgp>
                      <wpg:cNvGrpSpPr/>
                      <wpg:grpSpPr>
                        <a:xfrm>
                          <a:off x="0" y="0"/>
                          <a:ext cx="5309616" cy="2860574"/>
                          <a:chOff x="0" y="0"/>
                          <a:chExt cx="5309616" cy="2860574"/>
                        </a:xfrm>
                      </wpg:grpSpPr>
                      <wps:wsp>
                        <wps:cNvPr id="16516" name="Rectangle 16516"/>
                        <wps:cNvSpPr/>
                        <wps:spPr>
                          <a:xfrm>
                            <a:off x="5239258" y="2691867"/>
                            <a:ext cx="50673" cy="224380"/>
                          </a:xfrm>
                          <a:prstGeom prst="rect">
                            <a:avLst/>
                          </a:prstGeom>
                          <a:ln>
                            <a:noFill/>
                          </a:ln>
                        </wps:spPr>
                        <wps:txbx>
                          <w:txbxContent>
                            <w:p w:rsidR="00FA7413" w:rsidRDefault="00D712A8">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6568" name="Picture 16568"/>
                          <pic:cNvPicPr/>
                        </pic:nvPicPr>
                        <pic:blipFill>
                          <a:blip r:embed="rId25"/>
                          <a:stretch>
                            <a:fillRect/>
                          </a:stretch>
                        </pic:blipFill>
                        <pic:spPr>
                          <a:xfrm>
                            <a:off x="0" y="0"/>
                            <a:ext cx="5309616" cy="2316480"/>
                          </a:xfrm>
                          <a:prstGeom prst="rect">
                            <a:avLst/>
                          </a:prstGeom>
                        </pic:spPr>
                      </pic:pic>
                      <pic:pic xmlns:pic="http://schemas.openxmlformats.org/drawingml/2006/picture">
                        <pic:nvPicPr>
                          <pic:cNvPr id="16570" name="Picture 16570"/>
                          <pic:cNvPicPr/>
                        </pic:nvPicPr>
                        <pic:blipFill>
                          <a:blip r:embed="rId26"/>
                          <a:stretch>
                            <a:fillRect/>
                          </a:stretch>
                        </pic:blipFill>
                        <pic:spPr>
                          <a:xfrm>
                            <a:off x="0" y="2324100"/>
                            <a:ext cx="5234940" cy="502920"/>
                          </a:xfrm>
                          <a:prstGeom prst="rect">
                            <a:avLst/>
                          </a:prstGeom>
                        </pic:spPr>
                      </pic:pic>
                    </wpg:wgp>
                  </a:graphicData>
                </a:graphic>
              </wp:inline>
            </w:drawing>
          </mc:Choice>
          <mc:Fallback xmlns:a="http://schemas.openxmlformats.org/drawingml/2006/main">
            <w:pict>
              <v:group id="Group 220320" style="width:418.08pt;height:225.242pt;mso-position-horizontal-relative:char;mso-position-vertical-relative:line" coordsize="53096,28605">
                <v:rect id="Rectangle 16516" style="position:absolute;width:506;height:2243;left:52392;top:2691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6568" style="position:absolute;width:53096;height:23164;left:0;top:0;" filled="f">
                  <v:imagedata r:id="rId27"/>
                </v:shape>
                <v:shape id="Picture 16570" style="position:absolute;width:52349;height:5029;left:0;top:23241;" filled="f">
                  <v:imagedata r:id="rId28"/>
                </v:shape>
              </v:group>
            </w:pict>
          </mc:Fallback>
        </mc:AlternateContent>
      </w:r>
      <w:r>
        <w:rPr>
          <w:rFonts w:ascii="Times New Roman" w:eastAsia="Times New Roman" w:hAnsi="Times New Roman" w:cs="Times New Roman"/>
          <w:sz w:val="24"/>
        </w:rPr>
        <w:t xml:space="preserve"> </w: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spacing w:after="0" w:line="248" w:lineRule="auto"/>
        <w:ind w:left="355" w:right="64" w:hanging="10"/>
        <w:jc w:val="both"/>
      </w:pPr>
      <w:r>
        <w:rPr>
          <w:rFonts w:ascii="Arial" w:eastAsia="Arial" w:hAnsi="Arial" w:cs="Arial"/>
          <w:b/>
        </w:rPr>
        <w:t>SEGUNDO</w:t>
      </w:r>
      <w:r>
        <w:rPr>
          <w:rFonts w:ascii="Arial" w:eastAsia="Arial" w:hAnsi="Arial" w:cs="Arial"/>
        </w:rPr>
        <w:t>: Visto informe del Técnico Accidental de Recursos Humanos, relativo a las cantidades que el Ayuntamiento</w:t>
      </w:r>
      <w:r>
        <w:rPr>
          <w:rFonts w:ascii="Arial" w:eastAsia="Arial" w:hAnsi="Arial" w:cs="Arial"/>
        </w:rPr>
        <w:t xml:space="preserve"> debe abonar a D. José María Julián García, del siguiente tenor literal:</w:t>
      </w:r>
      <w:r>
        <w:rPr>
          <w:rFonts w:ascii="Times New Roman" w:eastAsia="Times New Roman" w:hAnsi="Times New Roman" w:cs="Times New Roman"/>
          <w:sz w:val="24"/>
        </w:rPr>
        <w:t xml:space="preserve"> </w:t>
      </w:r>
    </w:p>
    <w:p w:rsidR="00FA7413" w:rsidRDefault="00D712A8">
      <w:pPr>
        <w:spacing w:after="0"/>
        <w:ind w:left="356"/>
      </w:pPr>
      <w:r>
        <w:rPr>
          <w:rFonts w:ascii="Arial" w:eastAsia="Arial" w:hAnsi="Arial" w:cs="Arial"/>
        </w:rPr>
        <w:t xml:space="preserve"> </w:t>
      </w:r>
    </w:p>
    <w:p w:rsidR="00FA7413" w:rsidRDefault="00D712A8">
      <w:pPr>
        <w:spacing w:after="0" w:line="248" w:lineRule="auto"/>
        <w:ind w:left="355" w:right="62" w:hanging="10"/>
        <w:jc w:val="both"/>
      </w:pPr>
      <w:r>
        <w:rPr>
          <w:rFonts w:ascii="Arial" w:eastAsia="Arial" w:hAnsi="Arial" w:cs="Arial"/>
          <w:b/>
        </w:rPr>
        <w:t xml:space="preserve">Visto el expediente antedicho, el funcionario, Don José Ángel Díaz Ramos, que desempeña el puesto de trabajo de Gestor Accidental de Recursos Humanos (Dec. </w:t>
      </w:r>
      <w:r>
        <w:rPr>
          <w:rFonts w:ascii="Arial" w:eastAsia="Arial" w:hAnsi="Arial" w:cs="Arial"/>
          <w:b/>
        </w:rPr>
        <w:t>3282/2001 de 28 de diciembre 2001) emite el siguiente informe:</w:t>
      </w:r>
      <w:r>
        <w:rPr>
          <w:rFonts w:ascii="Times New Roman" w:eastAsia="Times New Roman" w:hAnsi="Times New Roman" w:cs="Times New Roman"/>
          <w:sz w:val="24"/>
        </w:rPr>
        <w:t xml:space="preserve"> </w:t>
      </w:r>
    </w:p>
    <w:p w:rsidR="00FA7413" w:rsidRDefault="00D712A8">
      <w:pPr>
        <w:spacing w:after="0"/>
        <w:ind w:left="356"/>
      </w:pPr>
      <w:r>
        <w:rPr>
          <w:rFonts w:ascii="Arial" w:eastAsia="Arial" w:hAnsi="Arial" w:cs="Arial"/>
          <w:b/>
        </w:rPr>
        <w:t xml:space="preserve"> </w:t>
      </w:r>
    </w:p>
    <w:p w:rsidR="00FA7413" w:rsidRDefault="00D712A8">
      <w:pPr>
        <w:spacing w:after="134" w:line="248" w:lineRule="auto"/>
        <w:ind w:left="355" w:right="64" w:hanging="10"/>
        <w:jc w:val="both"/>
      </w:pPr>
      <w:r>
        <w:rPr>
          <w:rFonts w:ascii="Arial" w:eastAsia="Arial" w:hAnsi="Arial" w:cs="Arial"/>
        </w:rPr>
        <w:t>En relación con el expediente tramitado a nombre de Dña. María Fátima Perdomo Trujillo, con D.N.I. nº ***3012**, Expediente gestiona nº 7048/2019 y a la vista de informe emitido por el que s</w:t>
      </w:r>
      <w:r>
        <w:rPr>
          <w:rFonts w:ascii="Arial" w:eastAsia="Arial" w:hAnsi="Arial" w:cs="Arial"/>
        </w:rPr>
        <w:t xml:space="preserve">uscribe, vengo a informar de lo siguiente: </w:t>
      </w:r>
    </w:p>
    <w:p w:rsidR="00FA7413" w:rsidRDefault="00D712A8">
      <w:pPr>
        <w:spacing w:after="132" w:line="248" w:lineRule="auto"/>
        <w:ind w:left="355" w:right="64" w:hanging="10"/>
        <w:jc w:val="both"/>
      </w:pPr>
      <w:r>
        <w:rPr>
          <w:noProof/>
        </w:rPr>
        <mc:AlternateContent>
          <mc:Choice Requires="wpg">
            <w:drawing>
              <wp:anchor distT="0" distB="0" distL="114300" distR="114300" simplePos="0" relativeHeight="251803648"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20321" name="Group 220321"/>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6573" name="Rectangle 16573"/>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6574" name="Rectangle 16574"/>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141 de 180 </w:t>
                              </w:r>
                            </w:p>
                          </w:txbxContent>
                        </wps:txbx>
                        <wps:bodyPr horzOverflow="overflow" vert="horz" lIns="0" tIns="0" rIns="0" bIns="0" rtlCol="0">
                          <a:noAutofit/>
                        </wps:bodyPr>
                      </wps:wsp>
                    </wpg:wgp>
                  </a:graphicData>
                </a:graphic>
              </wp:anchor>
            </w:drawing>
          </mc:Choice>
          <mc:Fallback xmlns:a="http://schemas.openxmlformats.org/drawingml/2006/main">
            <w:pict>
              <v:group id="Group 220321" style="width:12.7031pt;height:275.586pt;position:absolute;mso-position-horizontal-relative:page;mso-position-horizontal:absolute;margin-left:682.278pt;mso-position-vertical-relative:page;margin-top:536.334pt;" coordsize="1613,34999">
                <v:rect id="Rectangle 16573"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6574"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141 de 180 </w:t>
                        </w:r>
                      </w:p>
                    </w:txbxContent>
                  </v:textbox>
                </v:rect>
                <w10:wrap type="square"/>
              </v:group>
            </w:pict>
          </mc:Fallback>
        </mc:AlternateContent>
      </w:r>
      <w:r>
        <w:rPr>
          <w:rFonts w:ascii="Arial" w:eastAsia="Arial" w:hAnsi="Arial" w:cs="Arial"/>
        </w:rPr>
        <w:t>La empleada fu</w:t>
      </w:r>
      <w:r>
        <w:rPr>
          <w:rFonts w:ascii="Arial" w:eastAsia="Arial" w:hAnsi="Arial" w:cs="Arial"/>
        </w:rPr>
        <w:t>e readmitida por el Ayuntamiento de Candelaria, en virtud de Decreto 2365/2020, de 07 de octubre, una vez notificada a la interesada el viernes día 23 de octubre de 2020, incorporándose efectivamente a su puesto de trabajo el lunes día 26 del mismo mes y a</w:t>
      </w:r>
      <w:r>
        <w:rPr>
          <w:rFonts w:ascii="Arial" w:eastAsia="Arial" w:hAnsi="Arial" w:cs="Arial"/>
        </w:rPr>
        <w:t xml:space="preserve">ño. </w:t>
      </w:r>
    </w:p>
    <w:p w:rsidR="00FA7413" w:rsidRDefault="00D712A8">
      <w:pPr>
        <w:spacing w:after="132" w:line="248" w:lineRule="auto"/>
        <w:ind w:left="355" w:right="64" w:hanging="10"/>
        <w:jc w:val="both"/>
      </w:pPr>
      <w:r>
        <w:rPr>
          <w:rFonts w:ascii="Arial" w:eastAsia="Arial" w:hAnsi="Arial" w:cs="Arial"/>
        </w:rPr>
        <w:t xml:space="preserve">Si bien inicialmente y en base a la información presentada por la interesada del Servicio Público de Empleo (SEPE), se determinaba que la empleada había percibido desde la fecha del despido (01/01/2019) hasta el mes de septiembre de 2020, en concepto </w:t>
      </w:r>
      <w:r>
        <w:rPr>
          <w:rFonts w:ascii="Arial" w:eastAsia="Arial" w:hAnsi="Arial" w:cs="Arial"/>
        </w:rPr>
        <w:t>de prestación/subsidio o ayuda por desempleo, importes superiores a los que resulta de la aplicación de los 13.43 euros diarios fijados en sentencia, es cierto que la relación mantenida entre la empleada y esta entidad hasta la fecha de 31/12/2018 (Colabor</w:t>
      </w:r>
      <w:r>
        <w:rPr>
          <w:rFonts w:ascii="Arial" w:eastAsia="Arial" w:hAnsi="Arial" w:cs="Arial"/>
        </w:rPr>
        <w:t>ación Social), lo que supuso que, durante el tiempo que permaneció dicha relación contractual,  percibía una cantidad por parte del SEPE y otra por parte del Ayuntamiento de Candelaria, lo que supone que las cantidades percibidas del Servicio Público de Em</w:t>
      </w:r>
      <w:r>
        <w:rPr>
          <w:rFonts w:ascii="Arial" w:eastAsia="Arial" w:hAnsi="Arial" w:cs="Arial"/>
        </w:rPr>
        <w:t xml:space="preserve">pleo no suspendían los salarios de tramitación que debieron ser abonados complementariamente. </w:t>
      </w:r>
    </w:p>
    <w:p w:rsidR="00FA7413" w:rsidRDefault="00D712A8">
      <w:pPr>
        <w:spacing w:after="132" w:line="248" w:lineRule="auto"/>
        <w:ind w:left="355" w:right="64" w:hanging="10"/>
        <w:jc w:val="both"/>
      </w:pPr>
      <w:r>
        <w:rPr>
          <w:rFonts w:ascii="Arial" w:eastAsia="Arial" w:hAnsi="Arial" w:cs="Arial"/>
        </w:rPr>
        <w:t>Por lo expuesto anteriormente, vengo a informa que corresponde a la empleada el abono de los salarios de tramitación devengados desde el 01/01/2019 hasta el 19/1</w:t>
      </w:r>
      <w:r>
        <w:rPr>
          <w:rFonts w:ascii="Arial" w:eastAsia="Arial" w:hAnsi="Arial" w:cs="Arial"/>
        </w:rPr>
        <w:t xml:space="preserve">0/2020, según los cálculos que se recogen a continuación, a razón de 13.43 euros brutos por día. </w:t>
      </w:r>
    </w:p>
    <w:p w:rsidR="00FA7413" w:rsidRDefault="00D712A8">
      <w:pPr>
        <w:spacing w:after="119"/>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tabs>
          <w:tab w:val="center" w:pos="500"/>
          <w:tab w:val="center" w:pos="5801"/>
        </w:tabs>
        <w:spacing w:after="10" w:line="249" w:lineRule="auto"/>
      </w:pPr>
      <w:r>
        <w:rPr>
          <w:noProof/>
        </w:rPr>
        <mc:AlternateContent>
          <mc:Choice Requires="wpg">
            <w:drawing>
              <wp:anchor distT="0" distB="0" distL="114300" distR="114300" simplePos="0" relativeHeight="251804672"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34445" name="Group 234445"/>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7239" name="Rectangle 17239"/>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7240" name="Rectangle 17240"/>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142 de 180 </w:t>
                              </w:r>
                            </w:p>
                          </w:txbxContent>
                        </wps:txbx>
                        <wps:bodyPr horzOverflow="overflow" vert="horz" lIns="0" tIns="0" rIns="0" bIns="0" rtlCol="0">
                          <a:noAutofit/>
                        </wps:bodyPr>
                      </wps:wsp>
                    </wpg:wgp>
                  </a:graphicData>
                </a:graphic>
              </wp:anchor>
            </w:drawing>
          </mc:Choice>
          <mc:Fallback xmlns:a="http://schemas.openxmlformats.org/drawingml/2006/main">
            <w:pict>
              <v:group id="Group 234445" style="width:12.7031pt;height:275.586pt;position:absolute;mso-position-horizontal-relative:page;mso-position-horizontal:absolute;margin-left:682.278pt;mso-position-vertical-relative:page;margin-top:536.334pt;" coordsize="1613,34999">
                <v:rect id="Rectangle 17239"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7240"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142 de 180 </w:t>
                        </w:r>
                      </w:p>
                    </w:txbxContent>
                  </v:textbox>
                </v:rect>
                <w10:wrap type="square"/>
              </v:group>
            </w:pict>
          </mc:Fallback>
        </mc:AlternateContent>
      </w:r>
      <w: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sz w:val="24"/>
        </w:rPr>
        <w:t xml:space="preserve">Nº de días Importe día Sal. Tramitac. </w:t>
      </w:r>
      <w:r>
        <w:rPr>
          <w:sz w:val="24"/>
        </w:rPr>
        <w:t xml:space="preserve"> </w:t>
      </w:r>
    </w:p>
    <w:tbl>
      <w:tblPr>
        <w:tblStyle w:val="TableGrid"/>
        <w:tblW w:w="8522" w:type="dxa"/>
        <w:tblInd w:w="430" w:type="dxa"/>
        <w:tblCellMar>
          <w:top w:w="36" w:type="dxa"/>
          <w:left w:w="67" w:type="dxa"/>
          <w:bottom w:w="0" w:type="dxa"/>
          <w:right w:w="15" w:type="dxa"/>
        </w:tblCellMar>
        <w:tblLook w:val="04A0" w:firstRow="1" w:lastRow="0" w:firstColumn="1" w:lastColumn="0" w:noHBand="0" w:noVBand="1"/>
      </w:tblPr>
      <w:tblGrid>
        <w:gridCol w:w="3442"/>
        <w:gridCol w:w="1200"/>
        <w:gridCol w:w="2679"/>
        <w:gridCol w:w="1201"/>
      </w:tblGrid>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ene-19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7"/>
              <w:jc w:val="center"/>
            </w:pPr>
            <w:r>
              <w:rPr>
                <w:sz w:val="24"/>
              </w:rPr>
              <w:t xml:space="preserve">31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416,33 </w:t>
            </w:r>
          </w:p>
        </w:tc>
      </w:tr>
      <w:tr w:rsidR="00FA7413">
        <w:trPr>
          <w:trHeight w:val="312"/>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feb-19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7"/>
              <w:jc w:val="center"/>
            </w:pPr>
            <w:r>
              <w:rPr>
                <w:sz w:val="24"/>
              </w:rPr>
              <w:t xml:space="preserve">28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376,04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mar-19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7"/>
              <w:jc w:val="center"/>
            </w:pPr>
            <w:r>
              <w:rPr>
                <w:sz w:val="24"/>
              </w:rPr>
              <w:t xml:space="preserve">31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416,33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abr-19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7"/>
              <w:jc w:val="center"/>
            </w:pPr>
            <w:r>
              <w:rPr>
                <w:sz w:val="24"/>
              </w:rPr>
              <w:t xml:space="preserve">30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4"/>
              <w:jc w:val="right"/>
            </w:pPr>
            <w:r>
              <w:rPr>
                <w:sz w:val="24"/>
              </w:rPr>
              <w:t xml:space="preserve">402,9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may-19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7"/>
              <w:jc w:val="center"/>
            </w:pPr>
            <w:r>
              <w:rPr>
                <w:sz w:val="24"/>
              </w:rPr>
              <w:t xml:space="preserve">31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416,33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jun-19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7"/>
              <w:jc w:val="center"/>
            </w:pPr>
            <w:r>
              <w:rPr>
                <w:sz w:val="24"/>
              </w:rPr>
              <w:t xml:space="preserve">30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4"/>
              <w:jc w:val="right"/>
            </w:pPr>
            <w:r>
              <w:rPr>
                <w:sz w:val="24"/>
              </w:rPr>
              <w:t xml:space="preserve">402,9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jul-19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7"/>
              <w:jc w:val="center"/>
            </w:pPr>
            <w:r>
              <w:rPr>
                <w:sz w:val="24"/>
              </w:rPr>
              <w:t xml:space="preserve">31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416,33 </w:t>
            </w:r>
          </w:p>
        </w:tc>
      </w:tr>
      <w:tr w:rsidR="00FA7413">
        <w:trPr>
          <w:trHeight w:val="312"/>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ago-19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7"/>
              <w:jc w:val="center"/>
            </w:pPr>
            <w:r>
              <w:rPr>
                <w:sz w:val="24"/>
              </w:rPr>
              <w:t xml:space="preserve">31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416,33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sep-19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7"/>
              <w:jc w:val="center"/>
            </w:pPr>
            <w:r>
              <w:rPr>
                <w:sz w:val="24"/>
              </w:rPr>
              <w:t xml:space="preserve">30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4"/>
              <w:jc w:val="right"/>
            </w:pPr>
            <w:r>
              <w:rPr>
                <w:sz w:val="24"/>
              </w:rPr>
              <w:t xml:space="preserve">402,9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oct-19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7"/>
              <w:jc w:val="center"/>
            </w:pPr>
            <w:r>
              <w:rPr>
                <w:sz w:val="24"/>
              </w:rPr>
              <w:t xml:space="preserve">31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416,33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nov-19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7"/>
              <w:jc w:val="center"/>
            </w:pPr>
            <w:r>
              <w:rPr>
                <w:sz w:val="24"/>
              </w:rPr>
              <w:t xml:space="preserve">30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4"/>
              <w:jc w:val="right"/>
            </w:pPr>
            <w:r>
              <w:rPr>
                <w:sz w:val="24"/>
              </w:rPr>
              <w:t xml:space="preserve">402,9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dic-19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7"/>
              <w:jc w:val="center"/>
            </w:pPr>
            <w:r>
              <w:rPr>
                <w:sz w:val="24"/>
              </w:rPr>
              <w:t xml:space="preserve">31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416,33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2"/>
            </w:pPr>
            <w:r>
              <w:rPr>
                <w:b/>
                <w:sz w:val="24"/>
              </w:rPr>
              <w:t xml:space="preserve">  </w:t>
            </w:r>
          </w:p>
        </w:tc>
        <w:tc>
          <w:tcPr>
            <w:tcW w:w="1200" w:type="dxa"/>
            <w:tcBorders>
              <w:top w:val="single" w:sz="4" w:space="0" w:color="000000"/>
              <w:left w:val="single" w:sz="4" w:space="0" w:color="000000"/>
              <w:bottom w:val="single" w:sz="4" w:space="0" w:color="000000"/>
              <w:right w:val="nil"/>
            </w:tcBorders>
          </w:tcPr>
          <w:p w:rsidR="00FA7413" w:rsidRDefault="00D712A8">
            <w:pPr>
              <w:spacing w:after="0"/>
            </w:pPr>
            <w:r>
              <w:rPr>
                <w:b/>
                <w:sz w:val="24"/>
              </w:rPr>
              <w:t xml:space="preserve"> </w:t>
            </w:r>
          </w:p>
        </w:tc>
        <w:tc>
          <w:tcPr>
            <w:tcW w:w="2679" w:type="dxa"/>
            <w:tcBorders>
              <w:top w:val="single" w:sz="4" w:space="0" w:color="000000"/>
              <w:left w:val="nil"/>
              <w:bottom w:val="single" w:sz="4" w:space="0" w:color="000000"/>
              <w:right w:val="nil"/>
            </w:tcBorders>
          </w:tcPr>
          <w:p w:rsidR="00FA7413" w:rsidRDefault="00D712A8">
            <w:pPr>
              <w:spacing w:after="0"/>
              <w:ind w:right="57"/>
              <w:jc w:val="center"/>
            </w:pPr>
            <w:r>
              <w:rPr>
                <w:rFonts w:ascii="Times New Roman" w:eastAsia="Times New Roman" w:hAnsi="Times New Roman" w:cs="Times New Roman"/>
                <w:b/>
                <w:sz w:val="24"/>
              </w:rPr>
              <w:t xml:space="preserve">TOTAL 2019 </w:t>
            </w:r>
          </w:p>
        </w:tc>
        <w:tc>
          <w:tcPr>
            <w:tcW w:w="1201" w:type="dxa"/>
            <w:tcBorders>
              <w:top w:val="single" w:sz="4" w:space="0" w:color="000000"/>
              <w:left w:val="nil"/>
              <w:bottom w:val="single" w:sz="4" w:space="0" w:color="000000"/>
              <w:right w:val="nil"/>
            </w:tcBorders>
          </w:tcPr>
          <w:p w:rsidR="00FA7413" w:rsidRDefault="00D712A8">
            <w:pPr>
              <w:spacing w:after="0"/>
              <w:ind w:right="54"/>
              <w:jc w:val="right"/>
            </w:pPr>
            <w:r>
              <w:rPr>
                <w:b/>
                <w:sz w:val="24"/>
              </w:rPr>
              <w:t xml:space="preserve">4901,95 </w:t>
            </w:r>
          </w:p>
        </w:tc>
      </w:tr>
      <w:tr w:rsidR="00FA7413">
        <w:trPr>
          <w:trHeight w:val="312"/>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ene-20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7"/>
              <w:jc w:val="center"/>
            </w:pPr>
            <w:r>
              <w:rPr>
                <w:sz w:val="24"/>
              </w:rPr>
              <w:t xml:space="preserve">31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416,33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feb-20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7"/>
              <w:jc w:val="center"/>
            </w:pPr>
            <w:r>
              <w:rPr>
                <w:sz w:val="24"/>
              </w:rPr>
              <w:t xml:space="preserve">29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389,47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mar-20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7"/>
              <w:jc w:val="center"/>
            </w:pPr>
            <w:r>
              <w:rPr>
                <w:sz w:val="24"/>
              </w:rPr>
              <w:t xml:space="preserve">31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416,33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abr-20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7"/>
              <w:jc w:val="center"/>
            </w:pPr>
            <w:r>
              <w:rPr>
                <w:sz w:val="24"/>
              </w:rPr>
              <w:t xml:space="preserve">30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4"/>
              <w:jc w:val="right"/>
            </w:pPr>
            <w:r>
              <w:rPr>
                <w:sz w:val="24"/>
              </w:rPr>
              <w:t xml:space="preserve">402,9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may-20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7"/>
              <w:jc w:val="center"/>
            </w:pPr>
            <w:r>
              <w:rPr>
                <w:sz w:val="24"/>
              </w:rPr>
              <w:t xml:space="preserve">31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416,33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jun-20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7"/>
              <w:jc w:val="center"/>
            </w:pPr>
            <w:r>
              <w:rPr>
                <w:sz w:val="24"/>
              </w:rPr>
              <w:t xml:space="preserve">30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4"/>
              <w:jc w:val="right"/>
            </w:pPr>
            <w:r>
              <w:rPr>
                <w:sz w:val="24"/>
              </w:rPr>
              <w:t xml:space="preserve">402,9 </w:t>
            </w:r>
          </w:p>
        </w:tc>
      </w:tr>
      <w:tr w:rsidR="00FA7413">
        <w:trPr>
          <w:trHeight w:val="312"/>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jul-20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7"/>
              <w:jc w:val="center"/>
            </w:pPr>
            <w:r>
              <w:rPr>
                <w:sz w:val="24"/>
              </w:rPr>
              <w:t xml:space="preserve">31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416,33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ago-20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7"/>
              <w:jc w:val="center"/>
            </w:pPr>
            <w:r>
              <w:rPr>
                <w:sz w:val="24"/>
              </w:rPr>
              <w:t xml:space="preserve">31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416,33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sep-20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7"/>
              <w:jc w:val="center"/>
            </w:pPr>
            <w:r>
              <w:rPr>
                <w:sz w:val="24"/>
              </w:rPr>
              <w:t xml:space="preserve">30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4"/>
              <w:jc w:val="right"/>
            </w:pPr>
            <w:r>
              <w:rPr>
                <w:sz w:val="24"/>
              </w:rPr>
              <w:t xml:space="preserve">402,9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oct-20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7"/>
              <w:jc w:val="center"/>
            </w:pPr>
            <w:r>
              <w:rPr>
                <w:sz w:val="24"/>
              </w:rPr>
              <w:t xml:space="preserve">19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255,17 </w:t>
            </w:r>
          </w:p>
        </w:tc>
      </w:tr>
    </w:tbl>
    <w:p w:rsidR="00FA7413" w:rsidRDefault="00D712A8">
      <w:pPr>
        <w:pStyle w:val="Ttulo1"/>
        <w:tabs>
          <w:tab w:val="center" w:pos="3800"/>
          <w:tab w:val="center" w:pos="5830"/>
          <w:tab w:val="center" w:pos="8486"/>
        </w:tabs>
        <w:spacing w:after="3"/>
        <w:ind w:left="0" w:firstLine="0"/>
        <w:jc w:val="left"/>
      </w:pPr>
      <w:r>
        <w:rPr>
          <w:rFonts w:ascii="Calibri" w:eastAsia="Calibri" w:hAnsi="Calibri" w:cs="Calibri"/>
          <w:b w:val="0"/>
        </w:rPr>
        <w:tab/>
      </w:r>
      <w:r>
        <w:rPr>
          <w:rFonts w:ascii="Calibri" w:eastAsia="Calibri" w:hAnsi="Calibri" w:cs="Calibri"/>
          <w:sz w:val="24"/>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TOTAL 2020 </w:t>
      </w:r>
      <w:r>
        <w:rPr>
          <w:rFonts w:ascii="Times New Roman" w:eastAsia="Times New Roman" w:hAnsi="Times New Roman" w:cs="Times New Roman"/>
          <w:sz w:val="24"/>
        </w:rPr>
        <w:tab/>
      </w:r>
      <w:r>
        <w:rPr>
          <w:rFonts w:ascii="Calibri" w:eastAsia="Calibri" w:hAnsi="Calibri" w:cs="Calibri"/>
          <w:sz w:val="24"/>
        </w:rPr>
        <w:t xml:space="preserve">3934,99 </w:t>
      </w:r>
    </w:p>
    <w:tbl>
      <w:tblPr>
        <w:tblStyle w:val="TableGrid"/>
        <w:tblW w:w="3879" w:type="dxa"/>
        <w:tblInd w:w="5072" w:type="dxa"/>
        <w:tblCellMar>
          <w:top w:w="77" w:type="dxa"/>
          <w:left w:w="67" w:type="dxa"/>
          <w:bottom w:w="0" w:type="dxa"/>
          <w:right w:w="15" w:type="dxa"/>
        </w:tblCellMar>
        <w:tblLook w:val="04A0" w:firstRow="1" w:lastRow="0" w:firstColumn="1" w:lastColumn="0" w:noHBand="0" w:noVBand="1"/>
      </w:tblPr>
      <w:tblGrid>
        <w:gridCol w:w="2679"/>
        <w:gridCol w:w="1201"/>
      </w:tblGrid>
      <w:tr w:rsidR="00FA7413">
        <w:trPr>
          <w:trHeight w:val="326"/>
        </w:trPr>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jc w:val="both"/>
            </w:pPr>
            <w:r>
              <w:rPr>
                <w:b/>
                <w:sz w:val="24"/>
              </w:rPr>
              <w:t xml:space="preserve">Total Sal. de Tramitación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4"/>
              <w:jc w:val="right"/>
            </w:pPr>
            <w:r>
              <w:rPr>
                <w:b/>
                <w:sz w:val="24"/>
              </w:rPr>
              <w:t xml:space="preserve">8836,94 </w:t>
            </w:r>
          </w:p>
        </w:tc>
      </w:tr>
    </w:tbl>
    <w:p w:rsidR="00FA7413" w:rsidRDefault="00D712A8">
      <w:pPr>
        <w:spacing w:after="103"/>
        <w:ind w:left="360" w:right="1047"/>
      </w:pPr>
      <w:r>
        <w:rPr>
          <w:rFonts w:ascii="Times New Roman" w:eastAsia="Times New Roman" w:hAnsi="Times New Roman" w:cs="Times New Roman"/>
          <w:sz w:val="24"/>
        </w:rPr>
        <w:t xml:space="preserve"> </w:t>
      </w:r>
    </w:p>
    <w:p w:rsidR="00FA7413" w:rsidRDefault="00D712A8">
      <w:pPr>
        <w:spacing w:after="109" w:line="248" w:lineRule="auto"/>
        <w:ind w:left="355" w:right="64" w:hanging="10"/>
        <w:jc w:val="both"/>
      </w:pPr>
      <w:r>
        <w:rPr>
          <w:rFonts w:ascii="Arial" w:eastAsia="Arial" w:hAnsi="Arial" w:cs="Arial"/>
        </w:rPr>
        <w:t xml:space="preserve">Es cuanto tengo que informar, salvo cualquier otro informe mejor fundado en derecho. </w:t>
      </w:r>
    </w:p>
    <w:p w:rsidR="00FA7413" w:rsidRDefault="00D712A8">
      <w:pPr>
        <w:spacing w:after="124"/>
        <w:ind w:left="360"/>
      </w:pPr>
      <w:r>
        <w:rPr>
          <w:rFonts w:ascii="Arial" w:eastAsia="Arial" w:hAnsi="Arial" w:cs="Arial"/>
        </w:rPr>
        <w:t xml:space="preserve"> </w:t>
      </w:r>
    </w:p>
    <w:p w:rsidR="00FA7413" w:rsidRDefault="00D712A8">
      <w:pPr>
        <w:spacing w:after="109" w:line="248" w:lineRule="auto"/>
        <w:ind w:left="355" w:right="64" w:hanging="10"/>
        <w:jc w:val="both"/>
      </w:pPr>
      <w:r>
        <w:rPr>
          <w:rFonts w:ascii="Arial" w:eastAsia="Arial" w:hAnsi="Arial" w:cs="Arial"/>
          <w:b/>
        </w:rPr>
        <w:t>TERCERO</w:t>
      </w:r>
      <w:r>
        <w:rPr>
          <w:rFonts w:ascii="Arial" w:eastAsia="Arial" w:hAnsi="Arial" w:cs="Arial"/>
        </w:rPr>
        <w:t xml:space="preserve">: Visto el documento contable </w:t>
      </w:r>
      <w:r>
        <w:rPr>
          <w:rFonts w:ascii="Arial" w:eastAsia="Arial" w:hAnsi="Arial" w:cs="Arial"/>
          <w:b/>
        </w:rPr>
        <w:t>núm. 2.21.0.03742</w:t>
      </w:r>
      <w:r>
        <w:rPr>
          <w:rFonts w:ascii="Arial" w:eastAsia="Arial" w:hAnsi="Arial" w:cs="Arial"/>
        </w:rPr>
        <w:t xml:space="preserve">, que acredita </w:t>
      </w:r>
      <w:r>
        <w:rPr>
          <w:rFonts w:ascii="Arial" w:eastAsia="Arial" w:hAnsi="Arial" w:cs="Arial"/>
        </w:rPr>
        <w:t xml:space="preserve">la disponibilidad sobre los créditos para el pago de las cantidades adeudadas, en concepto de atrasos por diferencias retributivas. </w:t>
      </w:r>
    </w:p>
    <w:p w:rsidR="00FA7413" w:rsidRDefault="00D712A8">
      <w:pPr>
        <w:spacing w:after="95"/>
        <w:ind w:left="360"/>
      </w:pPr>
      <w:r>
        <w:rPr>
          <w:rFonts w:ascii="Arial" w:eastAsia="Arial" w:hAnsi="Arial" w:cs="Arial"/>
        </w:rPr>
        <w:t xml:space="preserve"> </w:t>
      </w:r>
    </w:p>
    <w:p w:rsidR="00FA7413" w:rsidRDefault="00D712A8">
      <w:pPr>
        <w:spacing w:after="109" w:line="248" w:lineRule="auto"/>
        <w:ind w:left="355" w:right="64" w:hanging="10"/>
        <w:jc w:val="both"/>
      </w:pPr>
      <w:r>
        <w:rPr>
          <w:rFonts w:ascii="Arial" w:eastAsia="Arial" w:hAnsi="Arial" w:cs="Arial"/>
          <w:b/>
        </w:rPr>
        <w:t>CUARTO</w:t>
      </w:r>
      <w:r>
        <w:rPr>
          <w:rFonts w:ascii="Arial" w:eastAsia="Arial" w:hAnsi="Arial" w:cs="Arial"/>
        </w:rPr>
        <w:t xml:space="preserve">. - Visto el Auto del Juzgado de lo Social nº 6 de 25/05/2021: </w:t>
      </w:r>
    </w:p>
    <w:p w:rsidR="00FA7413" w:rsidRDefault="00D712A8">
      <w:pPr>
        <w:spacing w:after="0"/>
        <w:ind w:left="360"/>
        <w:jc w:val="both"/>
      </w:pPr>
      <w:r>
        <w:rPr>
          <w:noProof/>
        </w:rPr>
        <mc:AlternateContent>
          <mc:Choice Requires="wpg">
            <w:drawing>
              <wp:anchor distT="0" distB="0" distL="114300" distR="114300" simplePos="0" relativeHeight="251805696" behindDoc="0" locked="0" layoutInCell="1" allowOverlap="1">
                <wp:simplePos x="0" y="0"/>
                <wp:positionH relativeFrom="page">
                  <wp:posOffset>8664935</wp:posOffset>
                </wp:positionH>
                <wp:positionV relativeFrom="page">
                  <wp:posOffset>6811442</wp:posOffset>
                </wp:positionV>
                <wp:extent cx="161330" cy="3499942"/>
                <wp:effectExtent l="0" t="0" r="0" b="0"/>
                <wp:wrapTopAndBottom/>
                <wp:docPr id="220323" name="Group 220323"/>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7332" name="Rectangle 17332"/>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Cód. Validación: 946JAL4TJAGYNDDM76ZM7ZAYZ | Ver</w:t>
                              </w:r>
                              <w:r>
                                <w:rPr>
                                  <w:rFonts w:ascii="Arial" w:eastAsia="Arial" w:hAnsi="Arial" w:cs="Arial"/>
                                  <w:sz w:val="12"/>
                                </w:rPr>
                                <w:t xml:space="preserve">ificación: https://candelaria.sedelectronica.es/ </w:t>
                              </w:r>
                            </w:p>
                          </w:txbxContent>
                        </wps:txbx>
                        <wps:bodyPr horzOverflow="overflow" vert="horz" lIns="0" tIns="0" rIns="0" bIns="0" rtlCol="0">
                          <a:noAutofit/>
                        </wps:bodyPr>
                      </wps:wsp>
                      <wps:wsp>
                        <wps:cNvPr id="17333" name="Rectangle 17333"/>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143 de 180 </w:t>
                              </w:r>
                            </w:p>
                          </w:txbxContent>
                        </wps:txbx>
                        <wps:bodyPr horzOverflow="overflow" vert="horz" lIns="0" tIns="0" rIns="0" bIns="0" rtlCol="0">
                          <a:noAutofit/>
                        </wps:bodyPr>
                      </wps:wsp>
                    </wpg:wgp>
                  </a:graphicData>
                </a:graphic>
              </wp:anchor>
            </w:drawing>
          </mc:Choice>
          <mc:Fallback xmlns:a="http://schemas.openxmlformats.org/drawingml/2006/main">
            <w:pict>
              <v:group id="Group 220323" style="width:12.7031pt;height:275.586pt;position:absolute;mso-position-horizontal-relative:page;mso-position-horizontal:absolute;margin-left:682.278pt;mso-position-vertical-relative:page;margin-top:536.334pt;" coordsize="1613,34999">
                <v:rect id="Rectangle 17332"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7333"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143 de 180 </w:t>
                        </w:r>
                      </w:p>
                    </w:txbxContent>
                  </v:textbox>
                </v:rect>
                <w10:wrap type="topAndBottom"/>
              </v:group>
            </w:pict>
          </mc:Fallback>
        </mc:AlternateContent>
      </w:r>
      <w:r>
        <w:rPr>
          <w:noProof/>
        </w:rPr>
        <w:drawing>
          <wp:inline distT="0" distB="0" distL="0" distR="0">
            <wp:extent cx="5401057" cy="2720340"/>
            <wp:effectExtent l="0" t="0" r="0" b="0"/>
            <wp:docPr id="17329" name="Picture 17329"/>
            <wp:cNvGraphicFramePr/>
            <a:graphic xmlns:a="http://schemas.openxmlformats.org/drawingml/2006/main">
              <a:graphicData uri="http://schemas.openxmlformats.org/drawingml/2006/picture">
                <pic:pic xmlns:pic="http://schemas.openxmlformats.org/drawingml/2006/picture">
                  <pic:nvPicPr>
                    <pic:cNvPr id="17329" name="Picture 17329"/>
                    <pic:cNvPicPr/>
                  </pic:nvPicPr>
                  <pic:blipFill>
                    <a:blip r:embed="rId29"/>
                    <a:stretch>
                      <a:fillRect/>
                    </a:stretch>
                  </pic:blipFill>
                  <pic:spPr>
                    <a:xfrm>
                      <a:off x="0" y="0"/>
                      <a:ext cx="5401057" cy="2720340"/>
                    </a:xfrm>
                    <a:prstGeom prst="rect">
                      <a:avLst/>
                    </a:prstGeom>
                  </pic:spPr>
                </pic:pic>
              </a:graphicData>
            </a:graphic>
          </wp:inline>
        </w:drawing>
      </w:r>
      <w:r>
        <w:rPr>
          <w:rFonts w:ascii="Arial" w:eastAsia="Arial" w:hAnsi="Arial" w:cs="Arial"/>
        </w:rPr>
        <w:t xml:space="preserve"> </w:t>
      </w:r>
      <w:r>
        <w:br w:type="page"/>
      </w:r>
    </w:p>
    <w:p w:rsidR="00FA7413" w:rsidRDefault="00D712A8">
      <w:pPr>
        <w:spacing w:after="47"/>
        <w:ind w:right="1296"/>
        <w:jc w:val="right"/>
      </w:pPr>
      <w:r>
        <w:rPr>
          <w:noProof/>
        </w:rPr>
        <w:drawing>
          <wp:inline distT="0" distB="0" distL="0" distR="0">
            <wp:extent cx="5257800" cy="5554980"/>
            <wp:effectExtent l="0" t="0" r="0" b="0"/>
            <wp:docPr id="17378" name="Picture 17378"/>
            <wp:cNvGraphicFramePr/>
            <a:graphic xmlns:a="http://schemas.openxmlformats.org/drawingml/2006/main">
              <a:graphicData uri="http://schemas.openxmlformats.org/drawingml/2006/picture">
                <pic:pic xmlns:pic="http://schemas.openxmlformats.org/drawingml/2006/picture">
                  <pic:nvPicPr>
                    <pic:cNvPr id="17378" name="Picture 17378"/>
                    <pic:cNvPicPr/>
                  </pic:nvPicPr>
                  <pic:blipFill>
                    <a:blip r:embed="rId30"/>
                    <a:stretch>
                      <a:fillRect/>
                    </a:stretch>
                  </pic:blipFill>
                  <pic:spPr>
                    <a:xfrm>
                      <a:off x="0" y="0"/>
                      <a:ext cx="5257800" cy="5554980"/>
                    </a:xfrm>
                    <a:prstGeom prst="rect">
                      <a:avLst/>
                    </a:prstGeom>
                  </pic:spPr>
                </pic:pic>
              </a:graphicData>
            </a:graphic>
          </wp:inline>
        </w:drawing>
      </w:r>
      <w:r>
        <w:rPr>
          <w:rFonts w:ascii="Arial" w:eastAsia="Arial" w:hAnsi="Arial" w:cs="Arial"/>
        </w:rPr>
        <w:t xml:space="preserve"> </w:t>
      </w:r>
    </w:p>
    <w:p w:rsidR="00FA7413" w:rsidRDefault="00D712A8">
      <w:pPr>
        <w:pStyle w:val="Ttulo2"/>
        <w:spacing w:after="79"/>
        <w:ind w:left="1013" w:right="719"/>
      </w:pPr>
      <w:r>
        <w:t xml:space="preserve">Fundamentos derechos </w:t>
      </w:r>
    </w:p>
    <w:p w:rsidR="00FA7413" w:rsidRDefault="00D712A8">
      <w:pPr>
        <w:spacing w:after="81"/>
        <w:ind w:left="346"/>
        <w:jc w:val="center"/>
      </w:pPr>
      <w:r>
        <w:rPr>
          <w:rFonts w:ascii="Arial" w:eastAsia="Arial" w:hAnsi="Arial" w:cs="Arial"/>
          <w:b/>
        </w:rPr>
        <w:t xml:space="preserve"> </w:t>
      </w:r>
    </w:p>
    <w:p w:rsidR="00FA7413" w:rsidRDefault="00D712A8">
      <w:pPr>
        <w:spacing w:after="0" w:line="248" w:lineRule="auto"/>
        <w:ind w:left="355" w:right="64" w:hanging="10"/>
        <w:jc w:val="both"/>
      </w:pPr>
      <w:r>
        <w:rPr>
          <w:rFonts w:ascii="Arial" w:eastAsia="Arial" w:hAnsi="Arial" w:cs="Arial"/>
        </w:rPr>
        <w:t xml:space="preserve">Según sentencia de referencia del Juzgado de lo Social número 6 de Santa Cruz de Tenerife, resultan de aplicación los siguientes: </w:t>
      </w:r>
    </w:p>
    <w:p w:rsidR="00FA7413" w:rsidRDefault="00D712A8">
      <w:pPr>
        <w:spacing w:after="0"/>
        <w:ind w:left="360"/>
      </w:pPr>
      <w:r>
        <w:rPr>
          <w:noProof/>
        </w:rPr>
        <mc:AlternateContent>
          <mc:Choice Requires="wpg">
            <w:drawing>
              <wp:anchor distT="0" distB="0" distL="114300" distR="114300" simplePos="0" relativeHeight="251806720"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21775" name="Group 221775"/>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7381" name="Rectangle 17381"/>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7382" name="Rectangle 17382"/>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Documento firmado elec</w:t>
                              </w:r>
                              <w:r>
                                <w:rPr>
                                  <w:rFonts w:ascii="Arial" w:eastAsia="Arial" w:hAnsi="Arial" w:cs="Arial"/>
                                  <w:sz w:val="12"/>
                                </w:rPr>
                                <w:t xml:space="preserve">trónicamente desde la plataforma esPublico Gestiona | Página 144 de 180 </w:t>
                              </w:r>
                            </w:p>
                          </w:txbxContent>
                        </wps:txbx>
                        <wps:bodyPr horzOverflow="overflow" vert="horz" lIns="0" tIns="0" rIns="0" bIns="0" rtlCol="0">
                          <a:noAutofit/>
                        </wps:bodyPr>
                      </wps:wsp>
                    </wpg:wgp>
                  </a:graphicData>
                </a:graphic>
              </wp:anchor>
            </w:drawing>
          </mc:Choice>
          <mc:Fallback xmlns:a="http://schemas.openxmlformats.org/drawingml/2006/main">
            <w:pict>
              <v:group id="Group 221775" style="width:12.7031pt;height:275.586pt;position:absolute;mso-position-horizontal-relative:page;mso-position-horizontal:absolute;margin-left:682.278pt;mso-position-vertical-relative:page;margin-top:536.334pt;" coordsize="1613,34999">
                <v:rect id="Rectangle 17381"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7382"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144 de 180 </w:t>
                        </w:r>
                      </w:p>
                    </w:txbxContent>
                  </v:textbox>
                </v:rect>
                <w10:wrap type="square"/>
              </v:group>
            </w:pict>
          </mc:Fallback>
        </mc:AlternateContent>
      </w: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b/>
        </w:rPr>
        <w:t xml:space="preserve">PRIMERO. - </w:t>
      </w:r>
      <w:r>
        <w:rPr>
          <w:rFonts w:ascii="Arial" w:eastAsia="Arial" w:hAnsi="Arial" w:cs="Arial"/>
        </w:rPr>
        <w:t>Los hechos declarados probados resultan acreditados de las pruebas practicadas, valorada conforme a las reglas de la sana crítica, como consta reflejado en cada uno de lo</w:t>
      </w:r>
      <w:r>
        <w:rPr>
          <w:rFonts w:ascii="Arial" w:eastAsia="Arial" w:hAnsi="Arial" w:cs="Arial"/>
        </w:rPr>
        <w:t>s ordinales fácticos.</w:t>
      </w:r>
      <w:r>
        <w:rPr>
          <w:rFonts w:ascii="Times New Roman" w:eastAsia="Times New Roman" w:hAnsi="Times New Roman" w:cs="Times New Roman"/>
          <w:sz w:val="24"/>
        </w:rPr>
        <w:t xml:space="preserve"> </w:t>
      </w:r>
    </w:p>
    <w:p w:rsidR="00FA7413" w:rsidRDefault="00D712A8">
      <w:pPr>
        <w:spacing w:after="0" w:line="248" w:lineRule="auto"/>
        <w:ind w:left="355" w:right="64" w:hanging="10"/>
        <w:jc w:val="both"/>
      </w:pPr>
      <w:r>
        <w:rPr>
          <w:rFonts w:ascii="Arial" w:eastAsia="Arial" w:hAnsi="Arial" w:cs="Arial"/>
          <w:b/>
        </w:rPr>
        <w:t>SEGUNDO.-</w:t>
      </w:r>
      <w:r>
        <w:rPr>
          <w:rFonts w:ascii="Arial" w:eastAsia="Arial" w:hAnsi="Arial" w:cs="Arial"/>
        </w:rPr>
        <w:t xml:space="preserve"> La demandante ejercita acción de despido pretendiendo la declaración de improcedencia al considerar como tal el cese en la prestación de servicio que había venido desempeñando para la Corporación demandada desde el 20/05/20</w:t>
      </w:r>
      <w:r>
        <w:rPr>
          <w:rFonts w:ascii="Arial" w:eastAsia="Arial" w:hAnsi="Arial" w:cs="Arial"/>
        </w:rPr>
        <w:t>11 hasta el 31/12/2018, fecha en la que se le dio de baja en la Tesorería General de la Seguridad Social, con base en la existencia de fraude de ley en la contratación por tratarse del desempeño de actividades normales y permanentes de la Administración Lo</w:t>
      </w:r>
      <w:r>
        <w:rPr>
          <w:rFonts w:ascii="Arial" w:eastAsia="Arial" w:hAnsi="Arial" w:cs="Arial"/>
        </w:rPr>
        <w:t>cal, al no presuponer la existencia de la legalidad de la temporalidad de los contratos de colaboración social, y por cuanto al no haber sido comunicado expresamente el despido entiende que se están ante un despido tácito. Frente a dicha pretensión, la dem</w:t>
      </w:r>
      <w:r>
        <w:rPr>
          <w:rFonts w:ascii="Arial" w:eastAsia="Arial" w:hAnsi="Arial" w:cs="Arial"/>
        </w:rPr>
        <w:t>andada formula oposición por entender que se están ante un contrato de colaboración social sometido a sus propias disposiciones normativas</w:t>
      </w:r>
      <w:r>
        <w:rPr>
          <w:rFonts w:ascii="Times New Roman" w:eastAsia="Times New Roman" w:hAnsi="Times New Roman" w:cs="Times New Roman"/>
          <w:sz w:val="24"/>
        </w:rPr>
        <w:t xml:space="preserve"> </w:t>
      </w:r>
    </w:p>
    <w:p w:rsidR="00FA7413" w:rsidRDefault="00D712A8">
      <w:pPr>
        <w:spacing w:after="20" w:line="248" w:lineRule="auto"/>
        <w:ind w:left="355" w:right="64" w:hanging="10"/>
        <w:jc w:val="both"/>
      </w:pPr>
      <w:r>
        <w:rPr>
          <w:rFonts w:ascii="Arial" w:eastAsia="Arial" w:hAnsi="Arial" w:cs="Arial"/>
          <w:b/>
        </w:rPr>
        <w:t xml:space="preserve">TERCERO. - </w:t>
      </w:r>
      <w:r>
        <w:rPr>
          <w:rFonts w:ascii="Arial" w:eastAsia="Arial" w:hAnsi="Arial" w:cs="Arial"/>
        </w:rPr>
        <w:t xml:space="preserve">En cuanto al carácter fraudulento del contrato de trabajo celebrado en virtud de programa de colaboración social, el Tribunal Supremo en Sentencia de 22 de enero de 2014 (rcud. </w:t>
      </w:r>
    </w:p>
    <w:p w:rsidR="00FA7413" w:rsidRDefault="00D712A8">
      <w:pPr>
        <w:spacing w:after="0" w:line="247" w:lineRule="auto"/>
        <w:ind w:left="355" w:right="62" w:hanging="10"/>
        <w:jc w:val="both"/>
      </w:pPr>
      <w:r>
        <w:rPr>
          <w:noProof/>
        </w:rPr>
        <mc:AlternateContent>
          <mc:Choice Requires="wpg">
            <w:drawing>
              <wp:anchor distT="0" distB="0" distL="114300" distR="114300" simplePos="0" relativeHeight="251807744"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22390" name="Group 222390"/>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7518" name="Rectangle 17518"/>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7519" name="Rectangle 17519"/>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145 de 180 </w:t>
                              </w:r>
                            </w:p>
                          </w:txbxContent>
                        </wps:txbx>
                        <wps:bodyPr horzOverflow="overflow" vert="horz" lIns="0" tIns="0" rIns="0" bIns="0" rtlCol="0">
                          <a:noAutofit/>
                        </wps:bodyPr>
                      </wps:wsp>
                    </wpg:wgp>
                  </a:graphicData>
                </a:graphic>
              </wp:anchor>
            </w:drawing>
          </mc:Choice>
          <mc:Fallback xmlns:a="http://schemas.openxmlformats.org/drawingml/2006/main">
            <w:pict>
              <v:group id="Group 222390" style="width:12.7031pt;height:275.586pt;position:absolute;mso-position-horizontal-relative:page;mso-position-horizontal:absolute;margin-left:682.278pt;mso-position-vertical-relative:page;margin-top:536.334pt;" coordsize="1613,34999">
                <v:rect id="Rectangle 17518"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7519"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145 de 180 </w:t>
                        </w:r>
                      </w:p>
                    </w:txbxContent>
                  </v:textbox>
                </v:rect>
                <w10:wrap type="square"/>
              </v:group>
            </w:pict>
          </mc:Fallback>
        </mc:AlternateContent>
      </w:r>
      <w:r>
        <w:rPr>
          <w:rFonts w:ascii="Arial" w:eastAsia="Arial" w:hAnsi="Arial" w:cs="Arial"/>
        </w:rPr>
        <w:t xml:space="preserve">3090/2012), razonó lo siguiente: </w:t>
      </w:r>
      <w:r>
        <w:rPr>
          <w:rFonts w:ascii="Arial" w:eastAsia="Arial" w:hAnsi="Arial" w:cs="Arial"/>
          <w:i/>
        </w:rPr>
        <w:t>“(…) Analizando a continuaci</w:t>
      </w:r>
      <w:r>
        <w:rPr>
          <w:rFonts w:ascii="Arial" w:eastAsia="Arial" w:hAnsi="Arial" w:cs="Arial"/>
          <w:i/>
        </w:rPr>
        <w:t xml:space="preserve">ón el requisito de la temporalidad, enfatizábamos que " Lo que dice el </w:t>
      </w:r>
      <w:r>
        <w:rPr>
          <w:rFonts w:ascii="Arial" w:eastAsia="Arial" w:hAnsi="Arial" w:cs="Arial"/>
          <w:u w:val="single" w:color="000000"/>
        </w:rPr>
        <w:t xml:space="preserve">artículo 213 de la LGSS </w:t>
      </w:r>
      <w:r>
        <w:rPr>
          <w:rFonts w:ascii="Arial" w:eastAsia="Arial" w:hAnsi="Arial" w:cs="Arial"/>
          <w:i/>
        </w:rPr>
        <w:t>es que "dichos trabajos de colaboración social, en todo caso, deben reunir los requisitos siguientes... b) Tener carácter temporal", precepto que es desarrollado</w:t>
      </w:r>
      <w:r>
        <w:rPr>
          <w:rFonts w:ascii="Arial" w:eastAsia="Arial" w:hAnsi="Arial" w:cs="Arial"/>
          <w:i/>
        </w:rPr>
        <w:t xml:space="preserve"> por el </w:t>
      </w:r>
      <w:r>
        <w:rPr>
          <w:rFonts w:ascii="Arial" w:eastAsia="Arial" w:hAnsi="Arial" w:cs="Arial"/>
          <w:u w:val="single" w:color="000000"/>
        </w:rPr>
        <w:t>art. 38 del R.D. 1445/1982</w:t>
      </w:r>
      <w:r>
        <w:rPr>
          <w:rFonts w:ascii="Arial" w:eastAsia="Arial" w:hAnsi="Arial" w:cs="Arial"/>
        </w:rPr>
        <w:t>".</w:t>
      </w:r>
      <w:r>
        <w:rPr>
          <w:rFonts w:ascii="Arial" w:eastAsia="Arial" w:hAnsi="Arial" w:cs="Arial"/>
          <w:i/>
        </w:rPr>
        <w:t>Y nos hacíamos eco de lo que, hasta ese momento, esta Sala Cuarta del TS había interpretado a propósito de dichos preceptos en el sentido de que estos contratos son necesariamente temporales puesto que solamente pueden c</w:t>
      </w:r>
      <w:r>
        <w:rPr>
          <w:rFonts w:ascii="Arial" w:eastAsia="Arial" w:hAnsi="Arial" w:cs="Arial"/>
          <w:i/>
        </w:rPr>
        <w:t xml:space="preserve">oncertarse con perceptores de prestaciones por desempleo que nunca son indefinidas. Dicha doctrina se resume en la STS de </w:t>
      </w:r>
      <w:r>
        <w:rPr>
          <w:rFonts w:ascii="Arial" w:eastAsia="Arial" w:hAnsi="Arial" w:cs="Arial"/>
          <w:i/>
          <w:u w:val="single" w:color="000000"/>
        </w:rPr>
        <w:t xml:space="preserve">23/7/2013 </w:t>
      </w:r>
      <w:r>
        <w:rPr>
          <w:rFonts w:ascii="Arial" w:eastAsia="Arial" w:hAnsi="Arial" w:cs="Arial"/>
          <w:i/>
        </w:rPr>
        <w:t>(rcud. 2508/2012): "De las citadas normas se desprende, pues, que la temporalidad exigida en estas modalidades de trabajo so</w:t>
      </w:r>
      <w:r>
        <w:rPr>
          <w:rFonts w:ascii="Arial" w:eastAsia="Arial" w:hAnsi="Arial" w:cs="Arial"/>
          <w:i/>
        </w:rPr>
        <w:t xml:space="preserve">cial no guardan relación con la temporalidad por obra o servicio determinado, a que se refiere el </w:t>
      </w:r>
      <w:r>
        <w:rPr>
          <w:rFonts w:ascii="Arial" w:eastAsia="Arial" w:hAnsi="Arial" w:cs="Arial"/>
          <w:u w:val="single" w:color="000000"/>
        </w:rPr>
        <w:t>artículo 15.1 a) del Estatuto de los</w:t>
      </w:r>
      <w:r>
        <w:rPr>
          <w:rFonts w:ascii="Arial" w:eastAsia="Arial" w:hAnsi="Arial" w:cs="Arial"/>
        </w:rPr>
        <w:t xml:space="preserve"> </w:t>
      </w:r>
      <w:r>
        <w:rPr>
          <w:rFonts w:ascii="Arial" w:eastAsia="Arial" w:hAnsi="Arial" w:cs="Arial"/>
          <w:u w:val="single" w:color="000000"/>
        </w:rPr>
        <w:t xml:space="preserve">Trabajadores </w:t>
      </w:r>
      <w:r>
        <w:rPr>
          <w:rFonts w:ascii="Arial" w:eastAsia="Arial" w:hAnsi="Arial" w:cs="Arial"/>
        </w:rPr>
        <w:t>(ET</w:t>
      </w:r>
      <w:r>
        <w:rPr>
          <w:rFonts w:ascii="Arial" w:eastAsia="Arial" w:hAnsi="Arial" w:cs="Arial"/>
          <w:i/>
        </w:rPr>
        <w:t xml:space="preserve">) y </w:t>
      </w:r>
      <w:r>
        <w:rPr>
          <w:rFonts w:ascii="Arial" w:eastAsia="Arial" w:hAnsi="Arial" w:cs="Arial"/>
        </w:rPr>
        <w:t xml:space="preserve">2 del </w:t>
      </w:r>
      <w:r>
        <w:rPr>
          <w:rFonts w:ascii="Arial" w:eastAsia="Arial" w:hAnsi="Arial" w:cs="Arial"/>
          <w:u w:val="single" w:color="000000"/>
        </w:rPr>
        <w:t>Real Decreto 2546/94</w:t>
      </w:r>
      <w:r>
        <w:rPr>
          <w:rFonts w:ascii="Arial" w:eastAsia="Arial" w:hAnsi="Arial" w:cs="Arial"/>
          <w:i/>
        </w:rPr>
        <w:t xml:space="preserve">, sino que el trabajo del desempleado implica, desde el inicio, una obra o </w:t>
      </w:r>
      <w:r>
        <w:rPr>
          <w:rFonts w:ascii="Arial" w:eastAsia="Arial" w:hAnsi="Arial" w:cs="Arial"/>
          <w:i/>
        </w:rPr>
        <w:t>un servicio durante un tiempo limitado. Es decir, que aun cuando se trate de una función que pueda considerarse normal en la Administración, la adscripción debe tener un carácter "ex lege" temporal, de modo que la adscripción nunca puede tener una duración</w:t>
      </w:r>
      <w:r>
        <w:rPr>
          <w:rFonts w:ascii="Arial" w:eastAsia="Arial" w:hAnsi="Arial" w:cs="Arial"/>
          <w:i/>
        </w:rPr>
        <w:t xml:space="preserve"> mayor a la que falte al trabajador por percibir en la prestación o subsidio por desempleo que se le hubiere reconocido"</w:t>
      </w:r>
      <w:r>
        <w:rPr>
          <w:rFonts w:ascii="Arial" w:eastAsia="Arial" w:hAnsi="Arial" w:cs="Arial"/>
        </w:rPr>
        <w:t xml:space="preserve">. </w:t>
      </w:r>
      <w:r>
        <w:rPr>
          <w:rFonts w:ascii="Arial" w:eastAsia="Arial" w:hAnsi="Arial" w:cs="Arial"/>
          <w:i/>
        </w:rPr>
        <w:t>Pues bien, en las sentencias del Pleno a las que nos referimos concluíamos que esa doctrina debía ser rectificada. "La rectificación e</w:t>
      </w:r>
      <w:r>
        <w:rPr>
          <w:rFonts w:ascii="Arial" w:eastAsia="Arial" w:hAnsi="Arial" w:cs="Arial"/>
          <w:i/>
        </w:rPr>
        <w:t xml:space="preserve">s necesaria porque la temporalidad que define en términos legales el tipo contractual no está en función de la duración máxima del vínculo, que se relaciona con la de la prestación de desempleo, sino que debe predicarse del trabajo objeto del contrato. En </w:t>
      </w:r>
      <w:r>
        <w:rPr>
          <w:rFonts w:ascii="Arial" w:eastAsia="Arial" w:hAnsi="Arial" w:cs="Arial"/>
          <w:i/>
        </w:rPr>
        <w:t xml:space="preserve">efecto, lo que dice el </w:t>
      </w:r>
      <w:r>
        <w:rPr>
          <w:rFonts w:ascii="Arial" w:eastAsia="Arial" w:hAnsi="Arial" w:cs="Arial"/>
          <w:u w:val="single" w:color="000000"/>
        </w:rPr>
        <w:t xml:space="preserve">art. 213.3 de la LGSS </w:t>
      </w:r>
      <w:r>
        <w:rPr>
          <w:rFonts w:ascii="Arial" w:eastAsia="Arial" w:hAnsi="Arial" w:cs="Arial"/>
          <w:i/>
        </w:rPr>
        <w:t>es que dichos trabajos de colaboración social, en todo caso, deben reunir los requisitos siguientes: "... b) tener carácter temporal". La exigencia de temporalidad va referida al trabajo que se va a desempeñar y</w:t>
      </w:r>
      <w:r>
        <w:rPr>
          <w:rFonts w:ascii="Arial" w:eastAsia="Arial" w:hAnsi="Arial" w:cs="Arial"/>
          <w:i/>
        </w:rPr>
        <w:t xml:space="preserve"> actúa con independencia de que se haya establecido una duración máxima del contrato en función de la propia limitación de la prestación de desempleo. Y ello es así, aunque el Reglamento dijera otra cosa, pues, obviamente, no puede contradecir a la Ley. Pe</w:t>
      </w:r>
      <w:r>
        <w:rPr>
          <w:rFonts w:ascii="Arial" w:eastAsia="Arial" w:hAnsi="Arial" w:cs="Arial"/>
          <w:i/>
        </w:rPr>
        <w:t xml:space="preserve">ro es que y añadimos esto sólo a mayor abundamiento- si leemos bien el </w:t>
      </w:r>
      <w:r>
        <w:rPr>
          <w:rFonts w:ascii="Arial" w:eastAsia="Arial" w:hAnsi="Arial" w:cs="Arial"/>
          <w:u w:val="single" w:color="000000"/>
        </w:rPr>
        <w:t>artículo 38 del R.D. 1445/1982</w:t>
      </w:r>
      <w:r>
        <w:rPr>
          <w:rFonts w:ascii="Arial" w:eastAsia="Arial" w:hAnsi="Arial" w:cs="Arial"/>
          <w:i/>
        </w:rPr>
        <w:t>, no hay tal contradicción. En efecto, su párrafo 1 dice así: "Las Administraciones Públicas podrán utilizar trabajadores perceptores de las prestaciones p</w:t>
      </w:r>
      <w:r>
        <w:rPr>
          <w:rFonts w:ascii="Arial" w:eastAsia="Arial" w:hAnsi="Arial" w:cs="Arial"/>
          <w:i/>
        </w:rPr>
        <w:t>or desempleo... en trabajos de colaboración temporal...". Es ahí donde el Reglamento recoge el requisito legal de la temporalidad de los trabajos objeto de este tipo de contratos. Y más adelante, en la letra b), concreta esa temporalidad en que la duración</w:t>
      </w:r>
      <w:r>
        <w:rPr>
          <w:rFonts w:ascii="Arial" w:eastAsia="Arial" w:hAnsi="Arial" w:cs="Arial"/>
          <w:i/>
        </w:rPr>
        <w:t xml:space="preserve"> del contrato no debe superar el tiempo que quede al desempleado de percibo de la prestación o subsidio por desempleo, lo cual va de suyo pues, en caso contrario, la entidad contratante perdería todo interés en la utilización de la figura: pagar al trabaja</w:t>
      </w:r>
      <w:r>
        <w:rPr>
          <w:rFonts w:ascii="Arial" w:eastAsia="Arial" w:hAnsi="Arial" w:cs="Arial"/>
          <w:i/>
        </w:rPr>
        <w:t>dor solamente la diferencia entre el importe de la prestación o subsidio por desempleo y el de la base reguladora que sirvió para calcular la prestación contributiva (</w:t>
      </w:r>
      <w:r>
        <w:rPr>
          <w:rFonts w:ascii="Arial" w:eastAsia="Arial" w:hAnsi="Arial" w:cs="Arial"/>
          <w:u w:val="single" w:color="000000"/>
        </w:rPr>
        <w:t>artículo</w:t>
      </w:r>
      <w:r>
        <w:rPr>
          <w:rFonts w:ascii="Arial" w:eastAsia="Arial" w:hAnsi="Arial" w:cs="Arial"/>
        </w:rPr>
        <w:t xml:space="preserve"> </w:t>
      </w:r>
      <w:r>
        <w:rPr>
          <w:rFonts w:ascii="Arial" w:eastAsia="Arial" w:hAnsi="Arial" w:cs="Arial"/>
          <w:u w:val="single" w:color="000000"/>
        </w:rPr>
        <w:t>38.4 del R.D. 1445/1982</w:t>
      </w:r>
      <w:r>
        <w:rPr>
          <w:rFonts w:ascii="Arial" w:eastAsia="Arial" w:hAnsi="Arial" w:cs="Arial"/>
          <w:i/>
        </w:rPr>
        <w:t>)"</w:t>
      </w:r>
      <w:r>
        <w:rPr>
          <w:rFonts w:ascii="Arial" w:eastAsia="Arial" w:hAnsi="Arial" w:cs="Arial"/>
        </w:rPr>
        <w:t xml:space="preserve">. </w:t>
      </w:r>
      <w:r>
        <w:rPr>
          <w:rFonts w:ascii="Arial" w:eastAsia="Arial" w:hAnsi="Arial" w:cs="Arial"/>
          <w:i/>
        </w:rPr>
        <w:t xml:space="preserve">Añadíamos que "El argumento de que, precisamente por </w:t>
      </w:r>
      <w:r>
        <w:rPr>
          <w:rFonts w:ascii="Arial" w:eastAsia="Arial" w:hAnsi="Arial" w:cs="Arial"/>
          <w:i/>
        </w:rPr>
        <w:t xml:space="preserve">esa necesidad de que el trabajador contratado sea un desempleado ya existe la temporalidad del objeto del contrato, encierra una clara petición de principio consistente en afirmar: el contrato es temporal porque legalmente tiene que serlo y, por lo tanto, </w:t>
      </w:r>
      <w:r>
        <w:rPr>
          <w:rFonts w:ascii="Arial" w:eastAsia="Arial" w:hAnsi="Arial" w:cs="Arial"/>
          <w:i/>
        </w:rPr>
        <w:t xml:space="preserve">su objeto cumple "necesariamente" la exigencia de temporalidad que la propia ley prescribe. Si ello fuera así, carecería de sentido que el </w:t>
      </w:r>
      <w:r>
        <w:rPr>
          <w:rFonts w:ascii="Arial" w:eastAsia="Arial" w:hAnsi="Arial" w:cs="Arial"/>
          <w:u w:val="single" w:color="000000"/>
        </w:rPr>
        <w:t>artículo 39.1 del</w:t>
      </w:r>
      <w:r>
        <w:rPr>
          <w:rFonts w:ascii="Arial" w:eastAsia="Arial" w:hAnsi="Arial" w:cs="Arial"/>
        </w:rPr>
        <w:t xml:space="preserve"> </w:t>
      </w:r>
    </w:p>
    <w:p w:rsidR="00FA7413" w:rsidRDefault="00D712A8">
      <w:pPr>
        <w:spacing w:after="0" w:line="247" w:lineRule="auto"/>
        <w:ind w:left="355" w:right="62" w:hanging="10"/>
        <w:jc w:val="both"/>
      </w:pPr>
      <w:r>
        <w:rPr>
          <w:rFonts w:ascii="Arial" w:eastAsia="Arial" w:hAnsi="Arial" w:cs="Arial"/>
          <w:u w:val="single" w:color="000000"/>
        </w:rPr>
        <w:t xml:space="preserve">R.D. 1445/1982 </w:t>
      </w:r>
      <w:r>
        <w:rPr>
          <w:rFonts w:ascii="Arial" w:eastAsia="Arial" w:hAnsi="Arial" w:cs="Arial"/>
          <w:i/>
        </w:rPr>
        <w:t xml:space="preserve">exija a la Administración Pública contratante la acreditación de "la obra, trabajo </w:t>
      </w:r>
      <w:r>
        <w:rPr>
          <w:rFonts w:ascii="Arial" w:eastAsia="Arial" w:hAnsi="Arial" w:cs="Arial"/>
          <w:i/>
        </w:rPr>
        <w:t>o servicio que se vaya a realizar y su exacta localización" (letra a), así como "la duración prevista tanto del total de la obra, trabajo o servicio, como de la actuación de los trabajadores por especialidades y categorías" (letra c). Tales cautelas serían</w:t>
      </w:r>
      <w:r>
        <w:rPr>
          <w:rFonts w:ascii="Arial" w:eastAsia="Arial" w:hAnsi="Arial" w:cs="Arial"/>
          <w:i/>
        </w:rPr>
        <w:t xml:space="preserve"> ciertamente superfluas si el carácter temporal de la contratación dimanara, simplemente, del hecho de que el trabajador contratado debe ser necesariamente un perceptor de la prestación o subsidio de desempleo que, obviamente, no dura indefinidamente</w:t>
      </w:r>
      <w:r>
        <w:rPr>
          <w:rFonts w:ascii="Arial" w:eastAsia="Arial" w:hAnsi="Arial" w:cs="Arial"/>
        </w:rPr>
        <w:t xml:space="preserve">". </w:t>
      </w:r>
      <w:r>
        <w:rPr>
          <w:rFonts w:ascii="Arial" w:eastAsia="Arial" w:hAnsi="Arial" w:cs="Arial"/>
          <w:i/>
        </w:rPr>
        <w:t xml:space="preserve">En </w:t>
      </w:r>
      <w:r>
        <w:rPr>
          <w:rFonts w:ascii="Arial" w:eastAsia="Arial" w:hAnsi="Arial" w:cs="Arial"/>
          <w:i/>
        </w:rPr>
        <w:t>aquellos casos, como sucede en el que ahora enjuiciamos, los servicios prestados se corresponden con las actividades normales y permanentes de la Administración demandada sin que se haya justificado ningún hecho determinante de temporalidad y habiéndose ma</w:t>
      </w:r>
      <w:r>
        <w:rPr>
          <w:rFonts w:ascii="Arial" w:eastAsia="Arial" w:hAnsi="Arial" w:cs="Arial"/>
          <w:i/>
        </w:rPr>
        <w:t xml:space="preserve">ntenido la relación durante más de dos años a partir de sucesivas prórrogas. Por ello, la contratación efectuada no tiene amparo en el </w:t>
      </w:r>
      <w:r>
        <w:rPr>
          <w:rFonts w:ascii="Arial" w:eastAsia="Arial" w:hAnsi="Arial" w:cs="Arial"/>
          <w:i/>
          <w:u w:val="single" w:color="000000"/>
        </w:rPr>
        <w:t xml:space="preserve">art. 213.3 LGSS </w:t>
      </w:r>
      <w:r>
        <w:rPr>
          <w:rFonts w:ascii="Arial" w:eastAsia="Arial" w:hAnsi="Arial" w:cs="Arial"/>
          <w:i/>
        </w:rPr>
        <w:t xml:space="preserve">ni en el </w:t>
      </w:r>
      <w:r>
        <w:rPr>
          <w:rFonts w:ascii="Arial" w:eastAsia="Arial" w:hAnsi="Arial" w:cs="Arial"/>
          <w:i/>
          <w:u w:val="single" w:color="000000"/>
        </w:rPr>
        <w:t xml:space="preserve">Real Decreto 1445/1982 </w:t>
      </w:r>
      <w:r>
        <w:rPr>
          <w:rFonts w:ascii="Arial" w:eastAsia="Arial" w:hAnsi="Arial" w:cs="Arial"/>
          <w:i/>
        </w:rPr>
        <w:t>y, en consecuencia, no juega la exclusión de laboralidad prevista en el p</w:t>
      </w:r>
      <w:r>
        <w:rPr>
          <w:rFonts w:ascii="Arial" w:eastAsia="Arial" w:hAnsi="Arial" w:cs="Arial"/>
          <w:i/>
        </w:rPr>
        <w:t xml:space="preserve">rimero de tales preceptos y, al no existir tampoco causa válida de temporalidad, la denuncia extintiva formulada por la empresa constituye un despido improcedente, tal como se ha declarado en el fallo de la sentencia recurrida. El recurso debe, por tanto, </w:t>
      </w:r>
      <w:r>
        <w:rPr>
          <w:rFonts w:ascii="Arial" w:eastAsia="Arial" w:hAnsi="Arial" w:cs="Arial"/>
          <w:i/>
        </w:rPr>
        <w:t>desestimarse, con condena en costas de la Administración recurrente (</w:t>
      </w:r>
      <w:r>
        <w:rPr>
          <w:rFonts w:ascii="Arial" w:eastAsia="Arial" w:hAnsi="Arial" w:cs="Arial"/>
          <w:i/>
          <w:u w:val="single" w:color="000000"/>
        </w:rPr>
        <w:t>art.</w:t>
      </w:r>
      <w:r>
        <w:rPr>
          <w:rFonts w:ascii="Arial" w:eastAsia="Arial" w:hAnsi="Arial" w:cs="Arial"/>
          <w:i/>
        </w:rPr>
        <w:t xml:space="preserve"> </w:t>
      </w:r>
      <w:r>
        <w:rPr>
          <w:rFonts w:ascii="Arial" w:eastAsia="Arial" w:hAnsi="Arial" w:cs="Arial"/>
          <w:i/>
          <w:u w:val="single" w:color="000000"/>
        </w:rPr>
        <w:t>235.1 LRJS</w:t>
      </w:r>
      <w:r>
        <w:rPr>
          <w:rFonts w:ascii="Arial" w:eastAsia="Arial" w:hAnsi="Arial" w:cs="Arial"/>
          <w:i/>
        </w:rPr>
        <w:t xml:space="preserve">) </w:t>
      </w:r>
      <w:r>
        <w:rPr>
          <w:rFonts w:ascii="Arial" w:eastAsia="Arial" w:hAnsi="Arial" w:cs="Arial"/>
        </w:rPr>
        <w:t>(...)”.</w:t>
      </w:r>
      <w:r>
        <w:rPr>
          <w:rFonts w:ascii="Times New Roman" w:eastAsia="Times New Roman" w:hAnsi="Times New Roman" w:cs="Times New Roman"/>
          <w:sz w:val="24"/>
        </w:rPr>
        <w:t xml:space="preserve"> </w:t>
      </w:r>
    </w:p>
    <w:p w:rsidR="00FA7413" w:rsidRDefault="00D712A8">
      <w:pPr>
        <w:spacing w:after="0" w:line="248" w:lineRule="auto"/>
        <w:ind w:left="355" w:right="64" w:hanging="10"/>
        <w:jc w:val="both"/>
      </w:pPr>
      <w:r>
        <w:rPr>
          <w:noProof/>
        </w:rPr>
        <mc:AlternateContent>
          <mc:Choice Requires="wpg">
            <w:drawing>
              <wp:anchor distT="0" distB="0" distL="114300" distR="114300" simplePos="0" relativeHeight="251808768"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22186" name="Group 222186"/>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7649" name="Rectangle 17649"/>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7650" name="Rectangle 17650"/>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146 de 180 </w:t>
                              </w:r>
                            </w:p>
                          </w:txbxContent>
                        </wps:txbx>
                        <wps:bodyPr horzOverflow="overflow" vert="horz" lIns="0" tIns="0" rIns="0" bIns="0" rtlCol="0">
                          <a:noAutofit/>
                        </wps:bodyPr>
                      </wps:wsp>
                    </wpg:wgp>
                  </a:graphicData>
                </a:graphic>
              </wp:anchor>
            </w:drawing>
          </mc:Choice>
          <mc:Fallback xmlns:a="http://schemas.openxmlformats.org/drawingml/2006/main">
            <w:pict>
              <v:group id="Group 222186" style="width:12.7031pt;height:275.586pt;position:absolute;mso-position-horizontal-relative:page;mso-position-horizontal:absolute;margin-left:682.278pt;mso-position-vertical-relative:page;margin-top:536.334pt;" coordsize="1613,34999">
                <v:rect id="Rectangle 17649"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7650"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146 de 180 </w:t>
                        </w:r>
                      </w:p>
                    </w:txbxContent>
                  </v:textbox>
                </v:rect>
                <w10:wrap type="square"/>
              </v:group>
            </w:pict>
          </mc:Fallback>
        </mc:AlternateContent>
      </w:r>
      <w:r>
        <w:rPr>
          <w:rFonts w:ascii="Arial" w:eastAsia="Arial" w:hAnsi="Arial" w:cs="Arial"/>
        </w:rPr>
        <w:t>Aplicando la anterior doctrina al caso presente, estamos ante una trabajadora que ha venido desempeñando funciones de auxiliar administrativo desde el 20/05/2011</w:t>
      </w:r>
      <w:r>
        <w:rPr>
          <w:rFonts w:ascii="Arial" w:eastAsia="Arial" w:hAnsi="Arial" w:cs="Arial"/>
        </w:rPr>
        <w:t>, y pese a que la Corporación demandada reconoce una antigüedad de 18/05/2012, de la vida laboral no se deduce interrupción en la contratación desde mayo de 2011, constando la percepción de subsidio por desempleo desde el 01/01/2010, por lo que es de admit</w:t>
      </w:r>
      <w:r>
        <w:rPr>
          <w:rFonts w:ascii="Arial" w:eastAsia="Arial" w:hAnsi="Arial" w:cs="Arial"/>
        </w:rPr>
        <w:t>ir que la prestación de trabajo se sucedió sin solución de continuidad, desde la fecha indicada -20/05/2011- hasta el 31/12/2018, fecha en la que el Ayuntamiento de Candelaria cursó la baja de la actora en la Tesorería General de la Seguridad Social. Las t</w:t>
      </w:r>
      <w:r>
        <w:rPr>
          <w:rFonts w:ascii="Arial" w:eastAsia="Arial" w:hAnsi="Arial" w:cs="Arial"/>
        </w:rPr>
        <w:t>areas desempeñadas parece que no guardan relación con obras sociales, propiamente dichas, más bien tienen la apariencia de mejoras prestadas por el Ayuntamiento a los ciudadanos del municipio, para hacerles más fácil la conectividad, con clara intención de</w:t>
      </w:r>
      <w:r>
        <w:rPr>
          <w:rFonts w:ascii="Arial" w:eastAsia="Arial" w:hAnsi="Arial" w:cs="Arial"/>
        </w:rPr>
        <w:t xml:space="preserve"> seguirlas prestando como se desprende de la solicitud de prórroga del contrato de colaboración de la trabajadora y posterior presentación de recurso de alzada ante la negativa del Servicio Canario de Empleo, lo que evidencia el carácter continuado de las </w:t>
      </w:r>
      <w:r>
        <w:rPr>
          <w:rFonts w:ascii="Arial" w:eastAsia="Arial" w:hAnsi="Arial" w:cs="Arial"/>
        </w:rPr>
        <w:t xml:space="preserve">tareas para las que fue contratada la demandante así como la ausencia de temporalidad de la actividad contratada, pues no se entiende temporal un contrato que se ha extendido desde mayo de 2011 hasta diciembre de 2018. </w:t>
      </w:r>
    </w:p>
    <w:p w:rsidR="00FA7413" w:rsidRDefault="00D712A8">
      <w:pPr>
        <w:spacing w:after="0" w:line="248" w:lineRule="auto"/>
        <w:ind w:left="355" w:right="64" w:hanging="10"/>
        <w:jc w:val="both"/>
      </w:pPr>
      <w:r>
        <w:rPr>
          <w:rFonts w:ascii="Arial" w:eastAsia="Arial" w:hAnsi="Arial" w:cs="Arial"/>
        </w:rPr>
        <w:t>De lo anterior resulta que no se est</w:t>
      </w:r>
      <w:r>
        <w:rPr>
          <w:rFonts w:ascii="Arial" w:eastAsia="Arial" w:hAnsi="Arial" w:cs="Arial"/>
        </w:rPr>
        <w:t>á ante un contrato de colaboración social sino ante un contrato en régimen laboral por fraude en la contratación, al que le es de aplicación las disposiciones del Estatuto de los Trabajadores, y por tanto, el cese de la relación laboral efectuada por el Ay</w:t>
      </w:r>
      <w:r>
        <w:rPr>
          <w:rFonts w:ascii="Arial" w:eastAsia="Arial" w:hAnsi="Arial" w:cs="Arial"/>
        </w:rPr>
        <w:t>untamiento de Candelaria mediante la baja de la actora en la Tesorería General de la Seguridad Social constituye un despido calificable de improcedente por incumplimiento de las formalidades legales recogidas en el artículo 55 del ET, derivándose, como con</w:t>
      </w:r>
      <w:r>
        <w:rPr>
          <w:rFonts w:ascii="Arial" w:eastAsia="Arial" w:hAnsi="Arial" w:cs="Arial"/>
        </w:rPr>
        <w:t xml:space="preserve">secuencia, lo previsto en el artículo 56 del mismo texto legal. </w:t>
      </w:r>
    </w:p>
    <w:p w:rsidR="00FA7413" w:rsidRDefault="00D712A8">
      <w:pPr>
        <w:spacing w:after="0" w:line="248" w:lineRule="auto"/>
        <w:ind w:left="355" w:right="64" w:hanging="10"/>
        <w:jc w:val="both"/>
      </w:pPr>
      <w:r>
        <w:rPr>
          <w:rFonts w:ascii="Arial" w:eastAsia="Arial" w:hAnsi="Arial" w:cs="Arial"/>
          <w:b/>
        </w:rPr>
        <w:t xml:space="preserve">CUARTO.- </w:t>
      </w:r>
      <w:r>
        <w:rPr>
          <w:rFonts w:ascii="Arial" w:eastAsia="Arial" w:hAnsi="Arial" w:cs="Arial"/>
        </w:rPr>
        <w:t xml:space="preserve">En cuanto a la indemnización consecuencia del despido improcedente, partiendo de un salario regulador de 13,43 euros, resultado de dividir entre 365 doce mensualidades de un salario </w:t>
      </w:r>
      <w:r>
        <w:rPr>
          <w:rFonts w:ascii="Arial" w:eastAsia="Arial" w:hAnsi="Arial" w:cs="Arial"/>
        </w:rPr>
        <w:t>regulador de 408,60 euros, cantidad que venía abonando la demandada mensualmente; teniendo en cuenta que la antigüedad en la empresa se ha de calcular en años y meses, con asimilación de los días sueltos a un mes completo, y las reglas para el cálculo de l</w:t>
      </w:r>
      <w:r>
        <w:rPr>
          <w:rFonts w:ascii="Arial" w:eastAsia="Arial" w:hAnsi="Arial" w:cs="Arial"/>
        </w:rPr>
        <w:t>a indemnización de la Disposición Transitoria undécima de la Ley 2/2015, ha de computarse de la siguiente manera:</w:t>
      </w:r>
      <w:r>
        <w:rPr>
          <w:rFonts w:ascii="Times New Roman" w:eastAsia="Times New Roman" w:hAnsi="Times New Roman" w:cs="Times New Roman"/>
          <w:sz w:val="24"/>
        </w:rPr>
        <w:t xml:space="preserve"> </w:t>
      </w:r>
      <w:r>
        <w:rPr>
          <w:rFonts w:ascii="Arial" w:eastAsia="Arial" w:hAnsi="Arial" w:cs="Arial"/>
        </w:rPr>
        <w:t xml:space="preserve">1º tramo desde el 20/05/2011 hasta el 11/02/2012, resulta 9 meses, equivalente a 33,75 días de indemnización (9*45/12). </w:t>
      </w:r>
    </w:p>
    <w:p w:rsidR="00FA7413" w:rsidRDefault="00D712A8">
      <w:pPr>
        <w:spacing w:after="0" w:line="248" w:lineRule="auto"/>
        <w:ind w:left="355" w:right="64" w:hanging="10"/>
        <w:jc w:val="both"/>
      </w:pPr>
      <w:r>
        <w:rPr>
          <w:rFonts w:ascii="Arial" w:eastAsia="Arial" w:hAnsi="Arial" w:cs="Arial"/>
        </w:rPr>
        <w:t>2º tramo desde el 12/</w:t>
      </w:r>
      <w:r>
        <w:rPr>
          <w:rFonts w:ascii="Arial" w:eastAsia="Arial" w:hAnsi="Arial" w:cs="Arial"/>
        </w:rPr>
        <w:t xml:space="preserve">02/2012 hasta el 31/12/2018, resulta 7 años y 11 meses, equivalente a 228,25 días de indemnización (83*33/12). </w:t>
      </w:r>
    </w:p>
    <w:p w:rsidR="00FA7413" w:rsidRDefault="00D712A8">
      <w:pPr>
        <w:spacing w:after="11" w:line="248" w:lineRule="auto"/>
        <w:ind w:left="355" w:right="64" w:hanging="10"/>
        <w:jc w:val="both"/>
      </w:pPr>
      <w:r>
        <w:rPr>
          <w:rFonts w:ascii="Arial" w:eastAsia="Arial" w:hAnsi="Arial" w:cs="Arial"/>
        </w:rPr>
        <w:t xml:space="preserve">Resultando una indemnización de 3.518,66 euros, [13,43*(33,75+228,25)].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55" w:right="64" w:hanging="10"/>
        <w:jc w:val="both"/>
      </w:pPr>
      <w:r>
        <w:rPr>
          <w:rFonts w:ascii="Arial" w:eastAsia="Arial" w:hAnsi="Arial" w:cs="Arial"/>
          <w:b/>
        </w:rPr>
        <w:t xml:space="preserve">QUINTO. - </w:t>
      </w:r>
      <w:r>
        <w:rPr>
          <w:rFonts w:ascii="Arial" w:eastAsia="Arial" w:hAnsi="Arial" w:cs="Arial"/>
        </w:rPr>
        <w:t>Debiendo indicar al Ayuntamiento de Candelaria que si opt</w:t>
      </w:r>
      <w:r>
        <w:rPr>
          <w:rFonts w:ascii="Arial" w:eastAsia="Arial" w:hAnsi="Arial" w:cs="Arial"/>
        </w:rPr>
        <w:t>a por la readmisión se devengarán salarios de tramitación a razón de 13,43 euros/día. En este caso, indicar a la demandada el deber de poner en conocimiento del Juzgado, en el plazo de los 5 días siguientes a la notificación de la sentencia, además de comu</w:t>
      </w:r>
      <w:r>
        <w:rPr>
          <w:rFonts w:ascii="Arial" w:eastAsia="Arial" w:hAnsi="Arial" w:cs="Arial"/>
        </w:rPr>
        <w:t>nicar directamente a la parte demandante donde y cuando debe reincorporarse al trabajo, en un plazo de diez días desde la notificación de la sentencia, debiendo mediar, al menos, tres días desde que el trabajador reciba la comunicación y el momento del rei</w:t>
      </w:r>
      <w:r>
        <w:rPr>
          <w:rFonts w:ascii="Arial" w:eastAsia="Arial" w:hAnsi="Arial" w:cs="Arial"/>
        </w:rPr>
        <w:t>ngreso al trabajo (art. 278 LRJS); siendo, además, de cuenta de la citada demandada los salarios devengados desde la notificación de la sentencia hasta la fecha de la readmisión, salvo que esta no se produzca por causa imputable al trabajado.</w:t>
      </w:r>
      <w:r>
        <w:rPr>
          <w:rFonts w:ascii="Times New Roman" w:eastAsia="Times New Roman" w:hAnsi="Times New Roman" w:cs="Times New Roman"/>
          <w:sz w:val="24"/>
        </w:rPr>
        <w:t xml:space="preserve"> </w:t>
      </w:r>
      <w:r>
        <w:rPr>
          <w:rFonts w:ascii="Arial" w:eastAsia="Arial" w:hAnsi="Arial" w:cs="Arial"/>
        </w:rPr>
        <w:t>Vistos los pr</w:t>
      </w:r>
      <w:r>
        <w:rPr>
          <w:rFonts w:ascii="Arial" w:eastAsia="Arial" w:hAnsi="Arial" w:cs="Arial"/>
        </w:rPr>
        <w:t xml:space="preserve">eceptos citados y demás de general y pertinente aplicación. </w:t>
      </w:r>
    </w:p>
    <w:p w:rsidR="00FA7413" w:rsidRDefault="00D712A8">
      <w:pPr>
        <w:spacing w:after="81"/>
        <w:ind w:left="360"/>
      </w:pPr>
      <w:r>
        <w:rPr>
          <w:rFonts w:ascii="Arial" w:eastAsia="Arial" w:hAnsi="Arial" w:cs="Arial"/>
        </w:rPr>
        <w:t xml:space="preserve"> </w:t>
      </w:r>
    </w:p>
    <w:p w:rsidR="00FA7413" w:rsidRDefault="00D712A8">
      <w:pPr>
        <w:spacing w:after="109" w:line="248" w:lineRule="auto"/>
        <w:ind w:left="355" w:right="64" w:hanging="10"/>
        <w:jc w:val="both"/>
      </w:pPr>
      <w:r>
        <w:rPr>
          <w:rFonts w:ascii="Arial" w:eastAsia="Arial" w:hAnsi="Arial" w:cs="Arial"/>
        </w:rPr>
        <w:t>En base a los antecedentes de hecho y fundamentos de derecho expuestos, se emite el siguiente informe con carácter</w:t>
      </w:r>
      <w:r>
        <w:rPr>
          <w:rFonts w:ascii="Arial" w:eastAsia="Arial" w:hAnsi="Arial" w:cs="Arial"/>
          <w:b/>
        </w:rPr>
        <w:t xml:space="preserve"> </w:t>
      </w:r>
      <w:r>
        <w:rPr>
          <w:rFonts w:ascii="Arial" w:eastAsia="Arial" w:hAnsi="Arial" w:cs="Arial"/>
        </w:rPr>
        <w:t>de</w:t>
      </w:r>
      <w:r>
        <w:rPr>
          <w:rFonts w:ascii="Arial" w:eastAsia="Arial" w:hAnsi="Arial" w:cs="Arial"/>
          <w:b/>
        </w:rPr>
        <w:t xml:space="preserve"> </w:t>
      </w:r>
      <w:r>
        <w:rPr>
          <w:rFonts w:ascii="Times New Roman" w:eastAsia="Times New Roman" w:hAnsi="Times New Roman" w:cs="Times New Roman"/>
          <w:sz w:val="24"/>
        </w:rPr>
        <w:t xml:space="preserve"> </w:t>
      </w:r>
    </w:p>
    <w:p w:rsidR="00FA7413" w:rsidRDefault="00D712A8">
      <w:pPr>
        <w:spacing w:after="111"/>
        <w:ind w:left="360"/>
      </w:pPr>
      <w:r>
        <w:rPr>
          <w:rFonts w:ascii="Arial" w:eastAsia="Arial" w:hAnsi="Arial" w:cs="Arial"/>
          <w:b/>
        </w:rPr>
        <w:t xml:space="preserve"> </w:t>
      </w:r>
    </w:p>
    <w:p w:rsidR="00FA7413" w:rsidRDefault="00D712A8">
      <w:pPr>
        <w:pStyle w:val="Ttulo2"/>
        <w:ind w:left="1013" w:right="790"/>
      </w:pPr>
      <w:r>
        <w:t xml:space="preserve">Propuesta de resolución </w:t>
      </w:r>
      <w:r>
        <w:rPr>
          <w:rFonts w:ascii="Times New Roman" w:eastAsia="Times New Roman" w:hAnsi="Times New Roman" w:cs="Times New Roman"/>
          <w:b w:val="0"/>
          <w:sz w:val="24"/>
        </w:rPr>
        <w:t xml:space="preserve"> </w:t>
      </w:r>
    </w:p>
    <w:p w:rsidR="00FA7413" w:rsidRDefault="00D712A8">
      <w:pPr>
        <w:spacing w:after="82"/>
        <w:ind w:left="360"/>
      </w:pPr>
      <w:r>
        <w:rPr>
          <w:rFonts w:ascii="Times New Roman" w:eastAsia="Times New Roman" w:hAnsi="Times New Roman" w:cs="Times New Roman"/>
          <w:sz w:val="24"/>
        </w:rPr>
        <w:t xml:space="preserve"> </w:t>
      </w:r>
    </w:p>
    <w:p w:rsidR="00FA7413" w:rsidRDefault="00D712A8">
      <w:pPr>
        <w:spacing w:after="109" w:line="248" w:lineRule="auto"/>
        <w:ind w:left="355" w:right="64" w:hanging="10"/>
        <w:jc w:val="both"/>
      </w:pPr>
      <w:r>
        <w:rPr>
          <w:noProof/>
        </w:rPr>
        <mc:AlternateContent>
          <mc:Choice Requires="wpg">
            <w:drawing>
              <wp:anchor distT="0" distB="0" distL="114300" distR="114300" simplePos="0" relativeHeight="251809792"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23617" name="Group 223617"/>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7829" name="Rectangle 17829"/>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7830" name="Rectangle 17830"/>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147 de 180 </w:t>
                              </w:r>
                            </w:p>
                          </w:txbxContent>
                        </wps:txbx>
                        <wps:bodyPr horzOverflow="overflow" vert="horz" lIns="0" tIns="0" rIns="0" bIns="0" rtlCol="0">
                          <a:noAutofit/>
                        </wps:bodyPr>
                      </wps:wsp>
                    </wpg:wgp>
                  </a:graphicData>
                </a:graphic>
              </wp:anchor>
            </w:drawing>
          </mc:Choice>
          <mc:Fallback xmlns:a="http://schemas.openxmlformats.org/drawingml/2006/main">
            <w:pict>
              <v:group id="Group 223617" style="width:12.7031pt;height:275.586pt;position:absolute;mso-position-horizontal-relative:page;mso-position-horizontal:absolute;margin-left:682.278pt;mso-position-vertical-relative:page;margin-top:536.334pt;" coordsize="1613,34999">
                <v:rect id="Rectangle 17829"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7830"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147 de 180 </w:t>
                        </w:r>
                      </w:p>
                    </w:txbxContent>
                  </v:textbox>
                </v:rect>
                <w10:wrap type="square"/>
              </v:group>
            </w:pict>
          </mc:Fallback>
        </mc:AlternateContent>
      </w:r>
      <w:r>
        <w:rPr>
          <w:rFonts w:ascii="Arial" w:eastAsia="Arial" w:hAnsi="Arial" w:cs="Arial"/>
          <w:b/>
        </w:rPr>
        <w:t>Primero</w:t>
      </w:r>
      <w:r>
        <w:rPr>
          <w:rFonts w:ascii="Arial" w:eastAsia="Arial" w:hAnsi="Arial" w:cs="Arial"/>
        </w:rPr>
        <w:t>: Se tome conocimiento de la Sentencia de referencia d</w:t>
      </w:r>
      <w:r>
        <w:rPr>
          <w:rFonts w:ascii="Arial" w:eastAsia="Arial" w:hAnsi="Arial" w:cs="Arial"/>
        </w:rPr>
        <w:t>el Juzgado de lo Social número 6 de Santa Cruz de Tenerife</w:t>
      </w:r>
      <w:r>
        <w:rPr>
          <w:rFonts w:ascii="Times New Roman" w:eastAsia="Times New Roman" w:hAnsi="Times New Roman" w:cs="Times New Roman"/>
          <w:sz w:val="24"/>
        </w:rPr>
        <w:t xml:space="preserve"> </w:t>
      </w:r>
    </w:p>
    <w:p w:rsidR="00FA7413" w:rsidRDefault="00D712A8">
      <w:pPr>
        <w:spacing w:after="92"/>
        <w:ind w:left="360"/>
      </w:pPr>
      <w:r>
        <w:rPr>
          <w:rFonts w:ascii="Times New Roman" w:eastAsia="Times New Roman" w:hAnsi="Times New Roman" w:cs="Times New Roman"/>
          <w:sz w:val="24"/>
        </w:rPr>
        <w:t xml:space="preserve"> </w:t>
      </w:r>
    </w:p>
    <w:p w:rsidR="00FA7413" w:rsidRDefault="00D712A8">
      <w:pPr>
        <w:spacing w:after="36"/>
        <w:ind w:right="1057"/>
        <w:jc w:val="right"/>
      </w:pPr>
      <w:r>
        <w:rPr>
          <w:noProof/>
        </w:rPr>
        <w:drawing>
          <wp:inline distT="0" distB="0" distL="0" distR="0">
            <wp:extent cx="5410200" cy="2308860"/>
            <wp:effectExtent l="0" t="0" r="0" b="0"/>
            <wp:docPr id="17826" name="Picture 17826"/>
            <wp:cNvGraphicFramePr/>
            <a:graphic xmlns:a="http://schemas.openxmlformats.org/drawingml/2006/main">
              <a:graphicData uri="http://schemas.openxmlformats.org/drawingml/2006/picture">
                <pic:pic xmlns:pic="http://schemas.openxmlformats.org/drawingml/2006/picture">
                  <pic:nvPicPr>
                    <pic:cNvPr id="17826" name="Picture 17826"/>
                    <pic:cNvPicPr/>
                  </pic:nvPicPr>
                  <pic:blipFill>
                    <a:blip r:embed="rId24"/>
                    <a:stretch>
                      <a:fillRect/>
                    </a:stretch>
                  </pic:blipFill>
                  <pic:spPr>
                    <a:xfrm>
                      <a:off x="0" y="0"/>
                      <a:ext cx="5410200" cy="2308860"/>
                    </a:xfrm>
                    <a:prstGeom prst="rect">
                      <a:avLst/>
                    </a:prstGeom>
                  </pic:spPr>
                </pic:pic>
              </a:graphicData>
            </a:graphic>
          </wp:inline>
        </w:drawing>
      </w:r>
      <w:r>
        <w:rPr>
          <w:rFonts w:ascii="Times New Roman" w:eastAsia="Times New Roman" w:hAnsi="Times New Roman" w:cs="Times New Roman"/>
          <w:sz w:val="24"/>
        </w:rPr>
        <w:t xml:space="preserve"> </w:t>
      </w:r>
    </w:p>
    <w:p w:rsidR="00FA7413" w:rsidRDefault="00D712A8">
      <w:pPr>
        <w:spacing w:after="81"/>
        <w:ind w:left="360"/>
      </w:pPr>
      <w:r>
        <w:rPr>
          <w:rFonts w:ascii="Times New Roman" w:eastAsia="Times New Roman" w:hAnsi="Times New Roman" w:cs="Times New Roman"/>
          <w:color w:val="FF0000"/>
          <w:sz w:val="24"/>
        </w:rPr>
        <w:t xml:space="preserve"> </w:t>
      </w:r>
    </w:p>
    <w:p w:rsidR="00FA7413" w:rsidRDefault="00D712A8">
      <w:pPr>
        <w:spacing w:after="0" w:line="248" w:lineRule="auto"/>
        <w:ind w:left="355" w:right="64" w:hanging="10"/>
        <w:jc w:val="both"/>
      </w:pPr>
      <w:r>
        <w:rPr>
          <w:rFonts w:ascii="Arial" w:eastAsia="Arial" w:hAnsi="Arial" w:cs="Arial"/>
          <w:b/>
        </w:rPr>
        <w:t>Segundo</w:t>
      </w:r>
      <w:r>
        <w:rPr>
          <w:rFonts w:ascii="Arial" w:eastAsia="Arial" w:hAnsi="Arial" w:cs="Arial"/>
        </w:rPr>
        <w:t>: Abonar los salarios de tramitación que se indican a continuación, devengados desde el 01 de enero de 2019 al 19 de octubre de 2020.</w:t>
      </w:r>
      <w:r>
        <w:rPr>
          <w:rFonts w:ascii="Times New Roman" w:eastAsia="Times New Roman" w:hAnsi="Times New Roman" w:cs="Times New Roman"/>
          <w:sz w:val="24"/>
        </w:rPr>
        <w:t xml:space="preserve"> </w:t>
      </w:r>
    </w:p>
    <w:p w:rsidR="00FA7413" w:rsidRDefault="00D712A8">
      <w:pPr>
        <w:spacing w:after="3"/>
        <w:ind w:left="360"/>
      </w:pPr>
      <w:r>
        <w:rPr>
          <w:rFonts w:ascii="Times New Roman" w:eastAsia="Times New Roman" w:hAnsi="Times New Roman" w:cs="Times New Roman"/>
          <w:sz w:val="24"/>
        </w:rPr>
        <w:t xml:space="preserve"> </w:t>
      </w:r>
    </w:p>
    <w:p w:rsidR="00FA7413" w:rsidRDefault="00D712A8">
      <w:pPr>
        <w:tabs>
          <w:tab w:val="center" w:pos="500"/>
          <w:tab w:val="center" w:pos="5801"/>
        </w:tabs>
        <w:spacing w:after="10" w:line="249" w:lineRule="auto"/>
      </w:pPr>
      <w: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sz w:val="24"/>
        </w:rPr>
        <w:t xml:space="preserve">Nº de días Importe día Sal. Tramitac. </w:t>
      </w:r>
      <w:r>
        <w:rPr>
          <w:sz w:val="24"/>
        </w:rPr>
        <w:t xml:space="preserve"> </w:t>
      </w:r>
    </w:p>
    <w:tbl>
      <w:tblPr>
        <w:tblStyle w:val="TableGrid"/>
        <w:tblW w:w="8522" w:type="dxa"/>
        <w:tblInd w:w="430" w:type="dxa"/>
        <w:tblCellMar>
          <w:top w:w="55" w:type="dxa"/>
          <w:left w:w="115" w:type="dxa"/>
          <w:bottom w:w="0" w:type="dxa"/>
          <w:right w:w="15" w:type="dxa"/>
        </w:tblCellMar>
        <w:tblLook w:val="04A0" w:firstRow="1" w:lastRow="0" w:firstColumn="1" w:lastColumn="0" w:noHBand="0" w:noVBand="1"/>
      </w:tblPr>
      <w:tblGrid>
        <w:gridCol w:w="3442"/>
        <w:gridCol w:w="1200"/>
        <w:gridCol w:w="2679"/>
        <w:gridCol w:w="1201"/>
      </w:tblGrid>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ene-19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31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416,33 </w:t>
            </w:r>
          </w:p>
        </w:tc>
      </w:tr>
      <w:tr w:rsidR="00FA7413">
        <w:trPr>
          <w:trHeight w:val="312"/>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feb-19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28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376,04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mar-19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31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416,33 </w:t>
            </w:r>
          </w:p>
        </w:tc>
      </w:tr>
      <w:tr w:rsidR="00FA7413">
        <w:trPr>
          <w:trHeight w:val="305"/>
        </w:trPr>
        <w:tc>
          <w:tcPr>
            <w:tcW w:w="3442" w:type="dxa"/>
            <w:tcBorders>
              <w:top w:val="nil"/>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abr-19 </w:t>
            </w:r>
          </w:p>
        </w:tc>
        <w:tc>
          <w:tcPr>
            <w:tcW w:w="1200" w:type="dxa"/>
            <w:tcBorders>
              <w:top w:val="nil"/>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30 </w:t>
            </w:r>
          </w:p>
        </w:tc>
        <w:tc>
          <w:tcPr>
            <w:tcW w:w="2679" w:type="dxa"/>
            <w:tcBorders>
              <w:top w:val="nil"/>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nil"/>
              <w:left w:val="single" w:sz="4" w:space="0" w:color="000000"/>
              <w:bottom w:val="single" w:sz="4" w:space="0" w:color="000000"/>
              <w:right w:val="single" w:sz="4" w:space="0" w:color="000000"/>
            </w:tcBorders>
          </w:tcPr>
          <w:p w:rsidR="00FA7413" w:rsidRDefault="00D712A8">
            <w:pPr>
              <w:spacing w:after="0"/>
              <w:ind w:right="54"/>
              <w:jc w:val="right"/>
            </w:pPr>
            <w:r>
              <w:rPr>
                <w:sz w:val="24"/>
              </w:rPr>
              <w:t xml:space="preserve">402,9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may-19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31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416,33 </w:t>
            </w:r>
          </w:p>
        </w:tc>
      </w:tr>
      <w:tr w:rsidR="00FA7413">
        <w:trPr>
          <w:trHeight w:val="312"/>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jun-19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30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4"/>
              <w:jc w:val="right"/>
            </w:pPr>
            <w:r>
              <w:rPr>
                <w:sz w:val="24"/>
              </w:rPr>
              <w:t xml:space="preserve">402,9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jul-19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31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416,33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ago-19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31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416,33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sep-19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30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4"/>
              <w:jc w:val="right"/>
            </w:pPr>
            <w:r>
              <w:rPr>
                <w:sz w:val="24"/>
              </w:rPr>
              <w:t xml:space="preserve">402,9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oct-19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31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416,33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nov-19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30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4"/>
              <w:jc w:val="right"/>
            </w:pPr>
            <w:r>
              <w:rPr>
                <w:sz w:val="24"/>
              </w:rPr>
              <w:t xml:space="preserve">402,9 </w:t>
            </w:r>
          </w:p>
        </w:tc>
      </w:tr>
      <w:tr w:rsidR="00FA7413">
        <w:trPr>
          <w:trHeight w:val="312"/>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dic-19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31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416,33 </w:t>
            </w:r>
          </w:p>
        </w:tc>
      </w:tr>
    </w:tbl>
    <w:p w:rsidR="00FA7413" w:rsidRDefault="00D712A8">
      <w:pPr>
        <w:pStyle w:val="Ttulo1"/>
        <w:tabs>
          <w:tab w:val="center" w:pos="500"/>
          <w:tab w:val="center" w:pos="3939"/>
          <w:tab w:val="center" w:pos="6409"/>
          <w:tab w:val="center" w:pos="8486"/>
        </w:tabs>
        <w:spacing w:after="3"/>
        <w:ind w:left="0" w:firstLine="0"/>
        <w:jc w:val="left"/>
      </w:pPr>
      <w:r>
        <w:rPr>
          <w:rFonts w:ascii="Calibri" w:eastAsia="Calibri" w:hAnsi="Calibri" w:cs="Calibri"/>
          <w:b w:val="0"/>
        </w:rPr>
        <w:tab/>
      </w:r>
      <w:r>
        <w:rPr>
          <w:rFonts w:ascii="Calibri" w:eastAsia="Calibri" w:hAnsi="Calibri" w:cs="Calibri"/>
          <w:sz w:val="24"/>
        </w:rPr>
        <w:t xml:space="preserve">  </w:t>
      </w:r>
      <w:r>
        <w:rPr>
          <w:rFonts w:ascii="Calibri" w:eastAsia="Calibri" w:hAnsi="Calibri" w:cs="Calibri"/>
          <w:sz w:val="24"/>
        </w:rPr>
        <w:tab/>
        <w:t xml:space="preserve"> </w:t>
      </w:r>
      <w:r>
        <w:rPr>
          <w:rFonts w:ascii="Calibri" w:eastAsia="Calibri" w:hAnsi="Calibri" w:cs="Calibri"/>
          <w:sz w:val="24"/>
        </w:rPr>
        <w:tab/>
      </w:r>
      <w:r>
        <w:rPr>
          <w:rFonts w:ascii="Times New Roman" w:eastAsia="Times New Roman" w:hAnsi="Times New Roman" w:cs="Times New Roman"/>
          <w:sz w:val="24"/>
        </w:rPr>
        <w:t xml:space="preserve">TOTAL 2019 </w:t>
      </w:r>
      <w:r>
        <w:rPr>
          <w:rFonts w:ascii="Times New Roman" w:eastAsia="Times New Roman" w:hAnsi="Times New Roman" w:cs="Times New Roman"/>
          <w:sz w:val="24"/>
        </w:rPr>
        <w:tab/>
      </w:r>
      <w:r>
        <w:rPr>
          <w:rFonts w:ascii="Calibri" w:eastAsia="Calibri" w:hAnsi="Calibri" w:cs="Calibri"/>
          <w:sz w:val="24"/>
        </w:rPr>
        <w:t xml:space="preserve">4901,95 </w:t>
      </w:r>
    </w:p>
    <w:tbl>
      <w:tblPr>
        <w:tblStyle w:val="TableGrid"/>
        <w:tblW w:w="8522" w:type="dxa"/>
        <w:tblInd w:w="430" w:type="dxa"/>
        <w:tblCellMar>
          <w:top w:w="60" w:type="dxa"/>
          <w:left w:w="115" w:type="dxa"/>
          <w:bottom w:w="0" w:type="dxa"/>
          <w:right w:w="15" w:type="dxa"/>
        </w:tblCellMar>
        <w:tblLook w:val="04A0" w:firstRow="1" w:lastRow="0" w:firstColumn="1" w:lastColumn="0" w:noHBand="0" w:noVBand="1"/>
      </w:tblPr>
      <w:tblGrid>
        <w:gridCol w:w="3442"/>
        <w:gridCol w:w="1200"/>
        <w:gridCol w:w="2679"/>
        <w:gridCol w:w="1201"/>
      </w:tblGrid>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ene-20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31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416,33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feb-20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29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389,47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mar-20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31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416,33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abr-20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30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4"/>
              <w:jc w:val="right"/>
            </w:pPr>
            <w:r>
              <w:rPr>
                <w:sz w:val="24"/>
              </w:rPr>
              <w:t xml:space="preserve">402,9 </w:t>
            </w:r>
          </w:p>
        </w:tc>
      </w:tr>
      <w:tr w:rsidR="00FA7413">
        <w:trPr>
          <w:trHeight w:val="312"/>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may-20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31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416,33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jun-20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30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4"/>
              <w:jc w:val="right"/>
            </w:pPr>
            <w:r>
              <w:rPr>
                <w:sz w:val="24"/>
              </w:rPr>
              <w:t xml:space="preserve">402,9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jul-20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31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416,33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ago-20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31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416,33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sep-20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30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4"/>
              <w:jc w:val="right"/>
            </w:pPr>
            <w:r>
              <w:rPr>
                <w:sz w:val="24"/>
              </w:rPr>
              <w:t xml:space="preserve">402,9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oct-20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19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255,17 </w:t>
            </w:r>
          </w:p>
        </w:tc>
      </w:tr>
    </w:tbl>
    <w:p w:rsidR="00FA7413" w:rsidRDefault="00D712A8">
      <w:pPr>
        <w:pStyle w:val="Ttulo1"/>
        <w:tabs>
          <w:tab w:val="center" w:pos="3800"/>
          <w:tab w:val="center" w:pos="5830"/>
          <w:tab w:val="center" w:pos="8486"/>
        </w:tabs>
        <w:spacing w:after="3"/>
        <w:ind w:left="0" w:firstLine="0"/>
        <w:jc w:val="left"/>
      </w:pPr>
      <w:r>
        <w:rPr>
          <w:rFonts w:ascii="Calibri" w:eastAsia="Calibri" w:hAnsi="Calibri" w:cs="Calibri"/>
          <w:b w:val="0"/>
        </w:rPr>
        <w:tab/>
      </w:r>
      <w:r>
        <w:rPr>
          <w:rFonts w:ascii="Calibri" w:eastAsia="Calibri" w:hAnsi="Calibri" w:cs="Calibri"/>
          <w:sz w:val="24"/>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TOTAL 2020 </w:t>
      </w:r>
      <w:r>
        <w:rPr>
          <w:rFonts w:ascii="Times New Roman" w:eastAsia="Times New Roman" w:hAnsi="Times New Roman" w:cs="Times New Roman"/>
          <w:sz w:val="24"/>
        </w:rPr>
        <w:tab/>
      </w:r>
      <w:r>
        <w:rPr>
          <w:rFonts w:ascii="Calibri" w:eastAsia="Calibri" w:hAnsi="Calibri" w:cs="Calibri"/>
          <w:sz w:val="24"/>
        </w:rPr>
        <w:t xml:space="preserve">3934,99 </w:t>
      </w:r>
    </w:p>
    <w:tbl>
      <w:tblPr>
        <w:tblStyle w:val="TableGrid"/>
        <w:tblW w:w="3879" w:type="dxa"/>
        <w:tblInd w:w="5072" w:type="dxa"/>
        <w:tblCellMar>
          <w:top w:w="74" w:type="dxa"/>
          <w:left w:w="67" w:type="dxa"/>
          <w:bottom w:w="0" w:type="dxa"/>
          <w:right w:w="15" w:type="dxa"/>
        </w:tblCellMar>
        <w:tblLook w:val="04A0" w:firstRow="1" w:lastRow="0" w:firstColumn="1" w:lastColumn="0" w:noHBand="0" w:noVBand="1"/>
      </w:tblPr>
      <w:tblGrid>
        <w:gridCol w:w="2679"/>
        <w:gridCol w:w="1201"/>
      </w:tblGrid>
      <w:tr w:rsidR="00FA7413">
        <w:trPr>
          <w:trHeight w:val="324"/>
        </w:trPr>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jc w:val="both"/>
            </w:pPr>
            <w:r>
              <w:rPr>
                <w:b/>
                <w:sz w:val="24"/>
              </w:rPr>
              <w:t xml:space="preserve">Total Sal. de Tramitación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4"/>
              <w:jc w:val="right"/>
            </w:pPr>
            <w:r>
              <w:rPr>
                <w:b/>
                <w:sz w:val="24"/>
              </w:rPr>
              <w:t xml:space="preserve">8836,94 </w:t>
            </w:r>
          </w:p>
        </w:tc>
      </w:tr>
    </w:tbl>
    <w:p w:rsidR="00FA7413" w:rsidRDefault="00D712A8">
      <w:pPr>
        <w:spacing w:after="47" w:line="248" w:lineRule="auto"/>
        <w:ind w:left="355" w:right="64" w:hanging="10"/>
        <w:jc w:val="both"/>
      </w:pPr>
      <w:r>
        <w:rPr>
          <w:noProof/>
        </w:rPr>
        <mc:AlternateContent>
          <mc:Choice Requires="wpg">
            <w:drawing>
              <wp:anchor distT="0" distB="0" distL="114300" distR="114300" simplePos="0" relativeHeight="251810816"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33350" name="Group 233350"/>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8444" name="Rectangle 18444"/>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8445" name="Rectangle 18445"/>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148 de 180 </w:t>
                              </w:r>
                            </w:p>
                          </w:txbxContent>
                        </wps:txbx>
                        <wps:bodyPr horzOverflow="overflow" vert="horz" lIns="0" tIns="0" rIns="0" bIns="0" rtlCol="0">
                          <a:noAutofit/>
                        </wps:bodyPr>
                      </wps:wsp>
                    </wpg:wgp>
                  </a:graphicData>
                </a:graphic>
              </wp:anchor>
            </w:drawing>
          </mc:Choice>
          <mc:Fallback xmlns:a="http://schemas.openxmlformats.org/drawingml/2006/main">
            <w:pict>
              <v:group id="Group 233350" style="width:12.7031pt;height:275.586pt;position:absolute;mso-position-horizontal-relative:page;mso-position-horizontal:absolute;margin-left:682.278pt;mso-position-vertical-relative:page;margin-top:536.334pt;" coordsize="1613,34999">
                <v:rect id="Rectangle 18444"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8445"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148 de 180 </w:t>
                        </w:r>
                      </w:p>
                    </w:txbxContent>
                  </v:textbox>
                </v:rect>
                <w10:wrap type="square"/>
              </v:group>
            </w:pict>
          </mc:Fallback>
        </mc:AlternateContent>
      </w:r>
      <w:r>
        <w:rPr>
          <w:rFonts w:ascii="Arial" w:eastAsia="Arial" w:hAnsi="Arial" w:cs="Arial"/>
          <w:b/>
        </w:rPr>
        <w:t>Tercero</w:t>
      </w:r>
      <w:r>
        <w:rPr>
          <w:rFonts w:ascii="Arial" w:eastAsia="Arial" w:hAnsi="Arial" w:cs="Arial"/>
        </w:rPr>
        <w:t>: Aprobar, disponer y reconocer el gasto por el import</w:t>
      </w:r>
      <w:r>
        <w:rPr>
          <w:rFonts w:ascii="Arial" w:eastAsia="Arial" w:hAnsi="Arial" w:cs="Arial"/>
        </w:rPr>
        <w:t xml:space="preserve">e bruto de </w:t>
      </w:r>
      <w:r>
        <w:rPr>
          <w:rFonts w:ascii="Arial" w:eastAsia="Arial" w:hAnsi="Arial" w:cs="Arial"/>
          <w:b/>
        </w:rPr>
        <w:t>8836,94 euros</w:t>
      </w:r>
      <w:r>
        <w:rPr>
          <w:rFonts w:ascii="Arial" w:eastAsia="Arial" w:hAnsi="Arial" w:cs="Arial"/>
        </w:rPr>
        <w:t xml:space="preserve">, correspondientes a salarios de tramitación devengados durante el periodo de 01 de enero de 2019 y el 19 de octubre de 2020, con cargo a la aplicación presupuestaria </w:t>
      </w:r>
      <w:r>
        <w:rPr>
          <w:rFonts w:ascii="Arial" w:eastAsia="Arial" w:hAnsi="Arial" w:cs="Arial"/>
          <w:b/>
        </w:rPr>
        <w:t>2020.92000.13100</w:t>
      </w: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(2.21.0.03742), así como la cantidad correspond</w:t>
      </w:r>
      <w:r>
        <w:rPr>
          <w:rFonts w:ascii="Arial" w:eastAsia="Arial" w:hAnsi="Arial" w:cs="Arial"/>
        </w:rPr>
        <w:t>iente al 10% de intereses por mora (883.69 euros)</w:t>
      </w:r>
      <w:r>
        <w:rPr>
          <w:rFonts w:ascii="Arial" w:eastAsia="Arial" w:hAnsi="Arial" w:cs="Arial"/>
          <w:b/>
          <w:sz w:val="28"/>
        </w:rPr>
        <w:t xml:space="preserve">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64" w:hanging="10"/>
        <w:jc w:val="both"/>
      </w:pPr>
      <w:r>
        <w:rPr>
          <w:rFonts w:ascii="Arial" w:eastAsia="Arial" w:hAnsi="Arial" w:cs="Arial"/>
          <w:b/>
        </w:rPr>
        <w:t>Cuarto</w:t>
      </w:r>
      <w:r>
        <w:rPr>
          <w:rFonts w:ascii="Arial" w:eastAsia="Arial" w:hAnsi="Arial" w:cs="Arial"/>
        </w:rPr>
        <w:t xml:space="preserve">: Ordenar el pago, por importe de </w:t>
      </w:r>
      <w:r>
        <w:rPr>
          <w:rFonts w:ascii="Arial" w:eastAsia="Arial" w:hAnsi="Arial" w:cs="Arial"/>
          <w:b/>
        </w:rPr>
        <w:t>8073,74 €</w:t>
      </w:r>
      <w:r>
        <w:rPr>
          <w:rFonts w:ascii="Arial" w:eastAsia="Arial" w:hAnsi="Arial" w:cs="Arial"/>
        </w:rPr>
        <w:t>, una vez realizados los correspondientes descuentos de IRPF (</w:t>
      </w:r>
      <w:r>
        <w:rPr>
          <w:rFonts w:ascii="Arial" w:eastAsia="Arial" w:hAnsi="Arial" w:cs="Arial"/>
          <w:b/>
        </w:rPr>
        <w:t>201,99</w:t>
      </w:r>
      <w:r>
        <w:rPr>
          <w:rFonts w:ascii="Arial" w:eastAsia="Arial" w:hAnsi="Arial" w:cs="Arial"/>
        </w:rPr>
        <w:t xml:space="preserve"> €) y Seguridad Social (561,21 €), con cargo a la aplicación presupuestaria </w:t>
      </w:r>
      <w:r>
        <w:rPr>
          <w:rFonts w:ascii="Arial" w:eastAsia="Arial" w:hAnsi="Arial" w:cs="Arial"/>
          <w:b/>
        </w:rPr>
        <w:t>2020.92000</w:t>
      </w:r>
      <w:r>
        <w:rPr>
          <w:rFonts w:ascii="Arial" w:eastAsia="Arial" w:hAnsi="Arial" w:cs="Arial"/>
          <w:b/>
        </w:rPr>
        <w:t>.13100</w:t>
      </w:r>
      <w:r>
        <w:rPr>
          <w:rFonts w:ascii="Arial" w:eastAsia="Arial" w:hAnsi="Arial" w:cs="Arial"/>
        </w:rPr>
        <w:t xml:space="preserve"> (2.20.0.03742).</w:t>
      </w:r>
      <w:r>
        <w:rPr>
          <w:rFonts w:ascii="Arial" w:eastAsia="Arial" w:hAnsi="Arial" w:cs="Arial"/>
          <w:b/>
          <w:sz w:val="28"/>
        </w:rPr>
        <w:t xml:space="preserve"> </w:t>
      </w:r>
    </w:p>
    <w:p w:rsidR="00FA7413" w:rsidRDefault="00D712A8">
      <w:pPr>
        <w:spacing w:after="0"/>
        <w:ind w:left="360"/>
      </w:pPr>
      <w:r>
        <w:rPr>
          <w:rFonts w:ascii="Arial" w:eastAsia="Arial" w:hAnsi="Arial" w:cs="Arial"/>
        </w:rPr>
        <w:t xml:space="preserve"> </w:t>
      </w:r>
    </w:p>
    <w:p w:rsidR="00FA7413" w:rsidRDefault="00D712A8">
      <w:pPr>
        <w:spacing w:after="75" w:line="248" w:lineRule="auto"/>
        <w:ind w:left="355" w:hanging="10"/>
        <w:jc w:val="both"/>
      </w:pPr>
      <w:r>
        <w:rPr>
          <w:rFonts w:ascii="Arial" w:eastAsia="Arial" w:hAnsi="Arial" w:cs="Arial"/>
          <w:b/>
        </w:rPr>
        <w:t>Quinto</w:t>
      </w:r>
      <w:r>
        <w:rPr>
          <w:rFonts w:ascii="Arial" w:eastAsia="Arial" w:hAnsi="Arial" w:cs="Arial"/>
        </w:rPr>
        <w:t>: Dar traslado de la resolución que se adopte a la Intervención y Tesorería Municipal a los efectos oportunos.</w:t>
      </w:r>
      <w:r>
        <w:rPr>
          <w:rFonts w:ascii="Times New Roman" w:eastAsia="Times New Roman" w:hAnsi="Times New Roman" w:cs="Times New Roman"/>
          <w:sz w:val="24"/>
        </w:rPr>
        <w:t xml:space="preserve"> </w:t>
      </w:r>
    </w:p>
    <w:p w:rsidR="00FA7413" w:rsidRDefault="00D712A8">
      <w:pPr>
        <w:spacing w:after="90"/>
        <w:ind w:left="360"/>
      </w:pPr>
      <w:r>
        <w:rPr>
          <w:rFonts w:ascii="Arial" w:eastAsia="Arial" w:hAnsi="Arial" w:cs="Arial"/>
        </w:rPr>
        <w:t xml:space="preserve"> </w:t>
      </w:r>
    </w:p>
    <w:p w:rsidR="00FA7413" w:rsidRDefault="00D712A8">
      <w:pPr>
        <w:spacing w:after="83" w:line="248" w:lineRule="auto"/>
        <w:ind w:left="355" w:right="64" w:hanging="10"/>
        <w:jc w:val="both"/>
      </w:pPr>
      <w:r>
        <w:rPr>
          <w:rFonts w:ascii="Arial" w:eastAsia="Arial" w:hAnsi="Arial" w:cs="Arial"/>
          <w:b/>
        </w:rPr>
        <w:t>Sexto</w:t>
      </w:r>
      <w:r>
        <w:rPr>
          <w:rFonts w:ascii="Arial" w:eastAsia="Arial" w:hAnsi="Arial" w:cs="Arial"/>
        </w:rPr>
        <w:t>: Notificar la Resolución que se adopte a la parte interesada.</w:t>
      </w:r>
      <w:r>
        <w:rPr>
          <w:rFonts w:ascii="Times New Roman" w:eastAsia="Times New Roman" w:hAnsi="Times New Roman" w:cs="Times New Roman"/>
          <w:sz w:val="24"/>
        </w:rPr>
        <w:t xml:space="preserve"> </w:t>
      </w:r>
    </w:p>
    <w:p w:rsidR="00FA7413" w:rsidRDefault="00D712A8">
      <w:pPr>
        <w:spacing w:after="84"/>
        <w:ind w:left="360"/>
      </w:pPr>
      <w:r>
        <w:rPr>
          <w:rFonts w:ascii="Times New Roman" w:eastAsia="Times New Roman" w:hAnsi="Times New Roman" w:cs="Times New Roman"/>
          <w:sz w:val="24"/>
        </w:rPr>
        <w:t xml:space="preserve"> </w:t>
      </w:r>
    </w:p>
    <w:p w:rsidR="00FA7413" w:rsidRDefault="00D712A8">
      <w:pPr>
        <w:spacing w:after="109" w:line="248" w:lineRule="auto"/>
        <w:ind w:left="355" w:right="64" w:hanging="10"/>
        <w:jc w:val="both"/>
      </w:pPr>
      <w:r>
        <w:rPr>
          <w:rFonts w:ascii="Arial" w:eastAsia="Arial" w:hAnsi="Arial" w:cs="Arial"/>
        </w:rPr>
        <w:t xml:space="preserve">Es cuanto puedo informar, salvo error u omisión involuntaria, no obstante, el órgano competente resolverá como mejor proceda en derecho </w:t>
      </w:r>
    </w:p>
    <w:p w:rsidR="00FA7413" w:rsidRDefault="00D712A8">
      <w:pPr>
        <w:spacing w:after="0"/>
        <w:ind w:left="360"/>
      </w:pPr>
      <w:r>
        <w:rPr>
          <w:rFonts w:ascii="Arial" w:eastAsia="Arial" w:hAnsi="Arial" w:cs="Arial"/>
          <w:b/>
        </w:rPr>
        <w:t xml:space="preserve"> </w:t>
      </w:r>
    </w:p>
    <w:p w:rsidR="00FA7413" w:rsidRDefault="00D712A8">
      <w:pPr>
        <w:spacing w:after="95"/>
        <w:ind w:left="360"/>
      </w:pPr>
      <w:r>
        <w:rPr>
          <w:rFonts w:ascii="Arial" w:eastAsia="Arial" w:hAnsi="Arial" w:cs="Arial"/>
        </w:rPr>
        <w:t xml:space="preserve">  </w:t>
      </w:r>
    </w:p>
    <w:p w:rsidR="00FA7413" w:rsidRDefault="00D712A8">
      <w:pPr>
        <w:pStyle w:val="Ttulo2"/>
        <w:spacing w:after="98"/>
        <w:ind w:left="300"/>
      </w:pPr>
      <w:r>
        <w:rPr>
          <w:u w:val="single" w:color="000000"/>
        </w:rPr>
        <w:t>RESOLUCIÓN</w:t>
      </w:r>
      <w:r>
        <w:rPr>
          <w:b w:val="0"/>
        </w:rPr>
        <w:t xml:space="preserve"> </w:t>
      </w:r>
    </w:p>
    <w:p w:rsidR="00FA7413" w:rsidRDefault="00D712A8">
      <w:pPr>
        <w:spacing w:after="109" w:line="248" w:lineRule="auto"/>
        <w:ind w:left="355" w:right="64" w:hanging="10"/>
        <w:jc w:val="both"/>
      </w:pPr>
      <w:r>
        <w:rPr>
          <w:rFonts w:ascii="Arial" w:eastAsia="Arial" w:hAnsi="Arial" w:cs="Arial"/>
        </w:rPr>
        <w:t>Visto el informe transcrito precedentemente, esta Concejalía delegada, en uso de las atribuciones lega</w:t>
      </w:r>
      <w:r>
        <w:rPr>
          <w:rFonts w:ascii="Arial" w:eastAsia="Arial" w:hAnsi="Arial" w:cs="Arial"/>
        </w:rPr>
        <w:t xml:space="preserve">lmente conferidas resuelve:   </w:t>
      </w:r>
    </w:p>
    <w:p w:rsidR="00FA7413" w:rsidRDefault="00D712A8">
      <w:pPr>
        <w:spacing w:after="95"/>
        <w:ind w:left="360"/>
      </w:pPr>
      <w:r>
        <w:rPr>
          <w:rFonts w:ascii="Arial" w:eastAsia="Arial" w:hAnsi="Arial" w:cs="Arial"/>
        </w:rPr>
        <w:t xml:space="preserve">  </w:t>
      </w:r>
    </w:p>
    <w:p w:rsidR="00FA7413" w:rsidRDefault="00D712A8">
      <w:pPr>
        <w:spacing w:after="109" w:line="248" w:lineRule="auto"/>
        <w:ind w:left="355" w:right="64" w:hanging="10"/>
        <w:jc w:val="both"/>
      </w:pPr>
      <w:r>
        <w:rPr>
          <w:rFonts w:ascii="Arial" w:eastAsia="Arial" w:hAnsi="Arial" w:cs="Arial"/>
          <w:b/>
        </w:rPr>
        <w:t>Primero</w:t>
      </w:r>
      <w:r>
        <w:rPr>
          <w:rFonts w:ascii="Arial" w:eastAsia="Arial" w:hAnsi="Arial" w:cs="Arial"/>
        </w:rPr>
        <w:t>: Se tome conocimiento de la Sentencia de referencia del Juzgado de lo Social número 6 de Santa Cruz de Tenerife</w:t>
      </w:r>
      <w:r>
        <w:rPr>
          <w:rFonts w:ascii="Times New Roman" w:eastAsia="Times New Roman" w:hAnsi="Times New Roman" w:cs="Times New Roman"/>
          <w:sz w:val="24"/>
        </w:rPr>
        <w:t xml:space="preserve"> </w:t>
      </w:r>
    </w:p>
    <w:p w:rsidR="00FA7413" w:rsidRDefault="00D712A8">
      <w:pPr>
        <w:spacing w:after="96"/>
        <w:ind w:left="360"/>
      </w:pPr>
      <w:r>
        <w:rPr>
          <w:rFonts w:ascii="Times New Roman" w:eastAsia="Times New Roman" w:hAnsi="Times New Roman" w:cs="Times New Roman"/>
          <w:sz w:val="24"/>
        </w:rPr>
        <w:t xml:space="preserve"> </w:t>
      </w:r>
    </w:p>
    <w:p w:rsidR="00FA7413" w:rsidRDefault="00D712A8">
      <w:pPr>
        <w:spacing w:after="96"/>
        <w:ind w:left="360"/>
      </w:pPr>
      <w:r>
        <w:rPr>
          <w:rFonts w:ascii="Times New Roman" w:eastAsia="Times New Roman" w:hAnsi="Times New Roman" w:cs="Times New Roman"/>
          <w:sz w:val="24"/>
        </w:rPr>
        <w:t xml:space="preserve"> </w:t>
      </w:r>
    </w:p>
    <w:p w:rsidR="00FA7413" w:rsidRDefault="00D712A8">
      <w:pPr>
        <w:spacing w:after="96"/>
        <w:ind w:left="360"/>
      </w:pPr>
      <w:r>
        <w:rPr>
          <w:rFonts w:ascii="Times New Roman" w:eastAsia="Times New Roman" w:hAnsi="Times New Roman" w:cs="Times New Roman"/>
          <w:sz w:val="24"/>
        </w:rPr>
        <w:t xml:space="preserve"> </w:t>
      </w:r>
    </w:p>
    <w:p w:rsidR="00FA7413" w:rsidRDefault="00D712A8">
      <w:pPr>
        <w:spacing w:after="93"/>
        <w:ind w:left="360"/>
      </w:pPr>
      <w:r>
        <w:rPr>
          <w:noProof/>
        </w:rPr>
        <mc:AlternateContent>
          <mc:Choice Requires="wpg">
            <w:drawing>
              <wp:anchor distT="0" distB="0" distL="114300" distR="114300" simplePos="0" relativeHeight="251811840"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26972" name="Group 226972"/>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8877" name="Rectangle 18877"/>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8878" name="Rectangle 18878"/>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149 de 180 </w:t>
                              </w:r>
                            </w:p>
                          </w:txbxContent>
                        </wps:txbx>
                        <wps:bodyPr horzOverflow="overflow" vert="horz" lIns="0" tIns="0" rIns="0" bIns="0" rtlCol="0">
                          <a:noAutofit/>
                        </wps:bodyPr>
                      </wps:wsp>
                    </wpg:wgp>
                  </a:graphicData>
                </a:graphic>
              </wp:anchor>
            </w:drawing>
          </mc:Choice>
          <mc:Fallback xmlns:a="http://schemas.openxmlformats.org/drawingml/2006/main">
            <w:pict>
              <v:group id="Group 226972" style="width:12.7031pt;height:275.586pt;position:absolute;mso-position-horizontal-relative:page;mso-position-horizontal:absolute;margin-left:682.278pt;mso-position-vertical-relative:page;margin-top:536.334pt;" coordsize="1613,34999">
                <v:rect id="Rectangle 18877"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8878"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149 de 180 </w:t>
                        </w:r>
                      </w:p>
                    </w:txbxContent>
                  </v:textbox>
                </v:rect>
                <w10:wrap type="square"/>
              </v:group>
            </w:pict>
          </mc:Fallback>
        </mc:AlternateContent>
      </w:r>
      <w:r>
        <w:rPr>
          <w:rFonts w:ascii="Times New Roman" w:eastAsia="Times New Roman" w:hAnsi="Times New Roman" w:cs="Times New Roman"/>
          <w:sz w:val="24"/>
        </w:rPr>
        <w:t xml:space="preserve"> </w:t>
      </w:r>
    </w:p>
    <w:p w:rsidR="00FA7413" w:rsidRDefault="00D712A8">
      <w:pPr>
        <w:spacing w:after="36"/>
        <w:ind w:right="1057"/>
        <w:jc w:val="right"/>
      </w:pPr>
      <w:r>
        <w:rPr>
          <w:noProof/>
        </w:rPr>
        <w:drawing>
          <wp:inline distT="0" distB="0" distL="0" distR="0">
            <wp:extent cx="5410200" cy="2308860"/>
            <wp:effectExtent l="0" t="0" r="0" b="0"/>
            <wp:docPr id="18874" name="Picture 18874"/>
            <wp:cNvGraphicFramePr/>
            <a:graphic xmlns:a="http://schemas.openxmlformats.org/drawingml/2006/main">
              <a:graphicData uri="http://schemas.openxmlformats.org/drawingml/2006/picture">
                <pic:pic xmlns:pic="http://schemas.openxmlformats.org/drawingml/2006/picture">
                  <pic:nvPicPr>
                    <pic:cNvPr id="18874" name="Picture 18874"/>
                    <pic:cNvPicPr/>
                  </pic:nvPicPr>
                  <pic:blipFill>
                    <a:blip r:embed="rId24"/>
                    <a:stretch>
                      <a:fillRect/>
                    </a:stretch>
                  </pic:blipFill>
                  <pic:spPr>
                    <a:xfrm>
                      <a:off x="0" y="0"/>
                      <a:ext cx="5410200" cy="2308860"/>
                    </a:xfrm>
                    <a:prstGeom prst="rect">
                      <a:avLst/>
                    </a:prstGeom>
                  </pic:spPr>
                </pic:pic>
              </a:graphicData>
            </a:graphic>
          </wp:inline>
        </w:drawing>
      </w:r>
      <w:r>
        <w:rPr>
          <w:rFonts w:ascii="Times New Roman" w:eastAsia="Times New Roman" w:hAnsi="Times New Roman" w:cs="Times New Roman"/>
          <w:sz w:val="24"/>
        </w:rPr>
        <w:t xml:space="preserve"> </w:t>
      </w:r>
    </w:p>
    <w:p w:rsidR="00FA7413" w:rsidRDefault="00D712A8">
      <w:pPr>
        <w:spacing w:after="81"/>
        <w:ind w:left="360"/>
      </w:pPr>
      <w:r>
        <w:rPr>
          <w:rFonts w:ascii="Times New Roman" w:eastAsia="Times New Roman" w:hAnsi="Times New Roman" w:cs="Times New Roman"/>
          <w:color w:val="FF0000"/>
          <w:sz w:val="24"/>
        </w:rPr>
        <w:t xml:space="preserve"> </w:t>
      </w:r>
    </w:p>
    <w:p w:rsidR="00FA7413" w:rsidRDefault="00D712A8">
      <w:pPr>
        <w:spacing w:after="0" w:line="248" w:lineRule="auto"/>
        <w:ind w:left="355" w:right="64" w:hanging="10"/>
        <w:jc w:val="both"/>
      </w:pPr>
      <w:r>
        <w:rPr>
          <w:rFonts w:ascii="Arial" w:eastAsia="Arial" w:hAnsi="Arial" w:cs="Arial"/>
          <w:b/>
        </w:rPr>
        <w:t>Segundo</w:t>
      </w:r>
      <w:r>
        <w:rPr>
          <w:rFonts w:ascii="Arial" w:eastAsia="Arial" w:hAnsi="Arial" w:cs="Arial"/>
        </w:rPr>
        <w:t>: Abonar los salarios de tramitación que se ind</w:t>
      </w:r>
      <w:r>
        <w:rPr>
          <w:rFonts w:ascii="Arial" w:eastAsia="Arial" w:hAnsi="Arial" w:cs="Arial"/>
        </w:rPr>
        <w:t>ican a continuación, devengados desde el 01 de enero de 2019 al 19 de octubre de 2020.</w:t>
      </w:r>
      <w:r>
        <w:rPr>
          <w:rFonts w:ascii="Times New Roman" w:eastAsia="Times New Roman" w:hAnsi="Times New Roman" w:cs="Times New Roman"/>
          <w:sz w:val="24"/>
        </w:rPr>
        <w:t xml:space="preserve"> </w:t>
      </w:r>
    </w:p>
    <w:p w:rsidR="00FA7413" w:rsidRDefault="00D712A8">
      <w:pPr>
        <w:spacing w:after="3"/>
        <w:ind w:left="360"/>
      </w:pPr>
      <w:r>
        <w:rPr>
          <w:rFonts w:ascii="Times New Roman" w:eastAsia="Times New Roman" w:hAnsi="Times New Roman" w:cs="Times New Roman"/>
          <w:sz w:val="24"/>
        </w:rPr>
        <w:t xml:space="preserve"> </w:t>
      </w:r>
    </w:p>
    <w:p w:rsidR="00FA7413" w:rsidRDefault="00D712A8">
      <w:pPr>
        <w:tabs>
          <w:tab w:val="center" w:pos="500"/>
          <w:tab w:val="center" w:pos="5801"/>
        </w:tabs>
        <w:spacing w:after="10" w:line="249" w:lineRule="auto"/>
      </w:pPr>
      <w: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sz w:val="24"/>
        </w:rPr>
        <w:t xml:space="preserve">Nº de días Importe día Sal. Tramitac. </w:t>
      </w:r>
      <w:r>
        <w:rPr>
          <w:sz w:val="24"/>
        </w:rPr>
        <w:t xml:space="preserve"> </w:t>
      </w:r>
    </w:p>
    <w:tbl>
      <w:tblPr>
        <w:tblStyle w:val="TableGrid"/>
        <w:tblW w:w="8522" w:type="dxa"/>
        <w:tblInd w:w="430" w:type="dxa"/>
        <w:tblCellMar>
          <w:top w:w="60" w:type="dxa"/>
          <w:left w:w="115" w:type="dxa"/>
          <w:bottom w:w="0" w:type="dxa"/>
          <w:right w:w="15" w:type="dxa"/>
        </w:tblCellMar>
        <w:tblLook w:val="04A0" w:firstRow="1" w:lastRow="0" w:firstColumn="1" w:lastColumn="0" w:noHBand="0" w:noVBand="1"/>
      </w:tblPr>
      <w:tblGrid>
        <w:gridCol w:w="3442"/>
        <w:gridCol w:w="1200"/>
        <w:gridCol w:w="2679"/>
        <w:gridCol w:w="1201"/>
      </w:tblGrid>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ene-19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31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416,33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feb-19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28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376,04 </w:t>
            </w:r>
          </w:p>
        </w:tc>
      </w:tr>
      <w:tr w:rsidR="00FA7413">
        <w:trPr>
          <w:trHeight w:val="312"/>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mar-19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31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416,33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abr-19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30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4"/>
              <w:jc w:val="right"/>
            </w:pPr>
            <w:r>
              <w:rPr>
                <w:sz w:val="24"/>
              </w:rPr>
              <w:t xml:space="preserve">402,9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may-19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31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416,33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jun-19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30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4"/>
              <w:jc w:val="right"/>
            </w:pPr>
            <w:r>
              <w:rPr>
                <w:sz w:val="24"/>
              </w:rPr>
              <w:t xml:space="preserve">402,9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jul-19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31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416,33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ago-19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31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416,33 </w:t>
            </w:r>
          </w:p>
        </w:tc>
      </w:tr>
      <w:tr w:rsidR="00FA7413">
        <w:trPr>
          <w:trHeight w:val="312"/>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sep-19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30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4"/>
              <w:jc w:val="right"/>
            </w:pPr>
            <w:r>
              <w:rPr>
                <w:sz w:val="24"/>
              </w:rPr>
              <w:t xml:space="preserve">402,9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oct-19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31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416,33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nov-19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30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4"/>
              <w:jc w:val="right"/>
            </w:pPr>
            <w:r>
              <w:rPr>
                <w:sz w:val="24"/>
              </w:rPr>
              <w:t xml:space="preserve">402,9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dic-19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31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416,33 </w:t>
            </w:r>
          </w:p>
        </w:tc>
      </w:tr>
    </w:tbl>
    <w:p w:rsidR="00FA7413" w:rsidRDefault="00D712A8">
      <w:pPr>
        <w:spacing w:after="41"/>
        <w:ind w:left="430"/>
      </w:pPr>
      <w:r>
        <w:rPr>
          <w:noProof/>
        </w:rPr>
        <mc:AlternateContent>
          <mc:Choice Requires="wpg">
            <w:drawing>
              <wp:inline distT="0" distB="0" distL="0" distR="0">
                <wp:extent cx="2947746" cy="6096"/>
                <wp:effectExtent l="0" t="0" r="0" b="0"/>
                <wp:docPr id="227888" name="Group 227888"/>
                <wp:cNvGraphicFramePr/>
                <a:graphic xmlns:a="http://schemas.openxmlformats.org/drawingml/2006/main">
                  <a:graphicData uri="http://schemas.microsoft.com/office/word/2010/wordprocessingGroup">
                    <wpg:wgp>
                      <wpg:cNvGrpSpPr/>
                      <wpg:grpSpPr>
                        <a:xfrm>
                          <a:off x="0" y="0"/>
                          <a:ext cx="2947746" cy="6096"/>
                          <a:chOff x="0" y="0"/>
                          <a:chExt cx="2947746" cy="6096"/>
                        </a:xfrm>
                      </wpg:grpSpPr>
                      <wps:wsp>
                        <wps:cNvPr id="244156" name="Shape 244156"/>
                        <wps:cNvSpPr/>
                        <wps:spPr>
                          <a:xfrm>
                            <a:off x="0" y="0"/>
                            <a:ext cx="2185670" cy="9144"/>
                          </a:xfrm>
                          <a:custGeom>
                            <a:avLst/>
                            <a:gdLst/>
                            <a:ahLst/>
                            <a:cxnLst/>
                            <a:rect l="0" t="0" r="0" b="0"/>
                            <a:pathLst>
                              <a:path w="2185670" h="9144">
                                <a:moveTo>
                                  <a:pt x="0" y="0"/>
                                </a:moveTo>
                                <a:lnTo>
                                  <a:pt x="2185670" y="0"/>
                                </a:lnTo>
                                <a:lnTo>
                                  <a:pt x="218567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44157" name="Shape 244157"/>
                        <wps:cNvSpPr/>
                        <wps:spPr>
                          <a:xfrm>
                            <a:off x="2185746"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44158" name="Shape 244158"/>
                        <wps:cNvSpPr/>
                        <wps:spPr>
                          <a:xfrm>
                            <a:off x="2191842" y="0"/>
                            <a:ext cx="755904" cy="9144"/>
                          </a:xfrm>
                          <a:custGeom>
                            <a:avLst/>
                            <a:gdLst/>
                            <a:ahLst/>
                            <a:cxnLst/>
                            <a:rect l="0" t="0" r="0" b="0"/>
                            <a:pathLst>
                              <a:path w="755904" h="9144">
                                <a:moveTo>
                                  <a:pt x="0" y="0"/>
                                </a:moveTo>
                                <a:lnTo>
                                  <a:pt x="755904" y="0"/>
                                </a:lnTo>
                                <a:lnTo>
                                  <a:pt x="75590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7888" style="width:232.106pt;height:0.47998pt;mso-position-horizontal-relative:char;mso-position-vertical-relative:line" coordsize="29477,60">
                <v:shape id="Shape 244159" style="position:absolute;width:21856;height:91;left:0;top:0;" coordsize="2185670,9144" path="m0,0l2185670,0l2185670,9144l0,9144l0,0">
                  <v:stroke weight="0pt" endcap="square" joinstyle="miter" miterlimit="10" on="false" color="#000000" opacity="0"/>
                  <v:fill on="true" color="#000000"/>
                </v:shape>
                <v:shape id="Shape 244160" style="position:absolute;width:91;height:91;left:21857;top:0;" coordsize="9144,9144" path="m0,0l9144,0l9144,9144l0,9144l0,0">
                  <v:stroke weight="0pt" endcap="square" joinstyle="miter" miterlimit="10" on="false" color="#000000" opacity="0"/>
                  <v:fill on="true" color="#000000"/>
                </v:shape>
                <v:shape id="Shape 244161" style="position:absolute;width:7559;height:91;left:21918;top:0;" coordsize="755904,9144" path="m0,0l755904,0l755904,9144l0,9144l0,0">
                  <v:stroke weight="0pt" endcap="square" joinstyle="miter" miterlimit="10" on="false" color="#000000" opacity="0"/>
                  <v:fill on="true" color="#000000"/>
                </v:shape>
              </v:group>
            </w:pict>
          </mc:Fallback>
        </mc:AlternateContent>
      </w:r>
    </w:p>
    <w:p w:rsidR="00FA7413" w:rsidRDefault="00D712A8">
      <w:pPr>
        <w:pStyle w:val="Ttulo1"/>
        <w:tabs>
          <w:tab w:val="center" w:pos="500"/>
          <w:tab w:val="center" w:pos="3939"/>
          <w:tab w:val="center" w:pos="6409"/>
          <w:tab w:val="center" w:pos="8486"/>
        </w:tabs>
        <w:spacing w:after="3"/>
        <w:ind w:left="0" w:firstLine="0"/>
        <w:jc w:val="left"/>
      </w:pPr>
      <w:r>
        <w:rPr>
          <w:rFonts w:ascii="Calibri" w:eastAsia="Calibri" w:hAnsi="Calibri" w:cs="Calibri"/>
          <w:b w:val="0"/>
        </w:rPr>
        <w:tab/>
      </w:r>
      <w:r>
        <w:rPr>
          <w:rFonts w:ascii="Calibri" w:eastAsia="Calibri" w:hAnsi="Calibri" w:cs="Calibri"/>
          <w:sz w:val="24"/>
        </w:rPr>
        <w:t xml:space="preserve">  </w:t>
      </w:r>
      <w:r>
        <w:rPr>
          <w:rFonts w:ascii="Calibri" w:eastAsia="Calibri" w:hAnsi="Calibri" w:cs="Calibri"/>
          <w:sz w:val="24"/>
        </w:rPr>
        <w:tab/>
        <w:t xml:space="preserve"> </w:t>
      </w:r>
      <w:r>
        <w:rPr>
          <w:rFonts w:ascii="Calibri" w:eastAsia="Calibri" w:hAnsi="Calibri" w:cs="Calibri"/>
          <w:sz w:val="24"/>
        </w:rPr>
        <w:tab/>
      </w:r>
      <w:r>
        <w:rPr>
          <w:rFonts w:ascii="Times New Roman" w:eastAsia="Times New Roman" w:hAnsi="Times New Roman" w:cs="Times New Roman"/>
          <w:sz w:val="24"/>
        </w:rPr>
        <w:t xml:space="preserve">TOTAL 2019 </w:t>
      </w:r>
      <w:r>
        <w:rPr>
          <w:rFonts w:ascii="Times New Roman" w:eastAsia="Times New Roman" w:hAnsi="Times New Roman" w:cs="Times New Roman"/>
          <w:sz w:val="24"/>
        </w:rPr>
        <w:tab/>
      </w:r>
      <w:r>
        <w:rPr>
          <w:rFonts w:ascii="Calibri" w:eastAsia="Calibri" w:hAnsi="Calibri" w:cs="Calibri"/>
          <w:sz w:val="24"/>
        </w:rPr>
        <w:t xml:space="preserve">4901,95 </w:t>
      </w:r>
    </w:p>
    <w:tbl>
      <w:tblPr>
        <w:tblStyle w:val="TableGrid"/>
        <w:tblW w:w="8522" w:type="dxa"/>
        <w:tblInd w:w="430" w:type="dxa"/>
        <w:tblCellMar>
          <w:top w:w="60" w:type="dxa"/>
          <w:left w:w="115" w:type="dxa"/>
          <w:bottom w:w="0" w:type="dxa"/>
          <w:right w:w="15" w:type="dxa"/>
        </w:tblCellMar>
        <w:tblLook w:val="04A0" w:firstRow="1" w:lastRow="0" w:firstColumn="1" w:lastColumn="0" w:noHBand="0" w:noVBand="1"/>
      </w:tblPr>
      <w:tblGrid>
        <w:gridCol w:w="3442"/>
        <w:gridCol w:w="1200"/>
        <w:gridCol w:w="2679"/>
        <w:gridCol w:w="1201"/>
      </w:tblGrid>
      <w:tr w:rsidR="00FA7413">
        <w:trPr>
          <w:trHeight w:val="312"/>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ene-20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31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416,33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feb-20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29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389,47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mar-20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31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416,33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abr-20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30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4"/>
              <w:jc w:val="right"/>
            </w:pPr>
            <w:r>
              <w:rPr>
                <w:sz w:val="24"/>
              </w:rPr>
              <w:t xml:space="preserve">402,9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may-20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31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416,33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jun-20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30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4"/>
              <w:jc w:val="right"/>
            </w:pPr>
            <w:r>
              <w:rPr>
                <w:sz w:val="24"/>
              </w:rPr>
              <w:t xml:space="preserve">402,9 </w:t>
            </w:r>
          </w:p>
        </w:tc>
      </w:tr>
      <w:tr w:rsidR="00FA7413">
        <w:trPr>
          <w:trHeight w:val="312"/>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jul-20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31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416,33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ago-20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31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416,33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sep-20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30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4"/>
              <w:jc w:val="right"/>
            </w:pPr>
            <w:r>
              <w:rPr>
                <w:sz w:val="24"/>
              </w:rPr>
              <w:t xml:space="preserve">402,9 </w:t>
            </w:r>
          </w:p>
        </w:tc>
      </w:tr>
      <w:tr w:rsidR="00FA7413">
        <w:trPr>
          <w:trHeight w:val="310"/>
        </w:trPr>
        <w:tc>
          <w:tcPr>
            <w:tcW w:w="344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right"/>
            </w:pPr>
            <w:r>
              <w:rPr>
                <w:sz w:val="24"/>
              </w:rPr>
              <w:t xml:space="preserve">oct-20 </w:t>
            </w:r>
          </w:p>
        </w:tc>
        <w:tc>
          <w:tcPr>
            <w:tcW w:w="120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5"/>
              <w:jc w:val="center"/>
            </w:pPr>
            <w:r>
              <w:rPr>
                <w:sz w:val="24"/>
              </w:rPr>
              <w:t xml:space="preserve">19 </w:t>
            </w:r>
          </w:p>
        </w:tc>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104"/>
              <w:jc w:val="center"/>
            </w:pPr>
            <w:r>
              <w:rPr>
                <w:sz w:val="24"/>
              </w:rPr>
              <w:t xml:space="preserve">13,43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255,17</w:t>
            </w:r>
            <w:r>
              <w:rPr>
                <w:sz w:val="24"/>
              </w:rPr>
              <w:t xml:space="preserve"> </w:t>
            </w:r>
          </w:p>
        </w:tc>
      </w:tr>
    </w:tbl>
    <w:p w:rsidR="00FA7413" w:rsidRDefault="00D712A8">
      <w:pPr>
        <w:pStyle w:val="Ttulo1"/>
        <w:tabs>
          <w:tab w:val="center" w:pos="3800"/>
          <w:tab w:val="center" w:pos="5830"/>
          <w:tab w:val="center" w:pos="8486"/>
        </w:tabs>
        <w:spacing w:after="3"/>
        <w:ind w:left="0" w:firstLine="0"/>
        <w:jc w:val="left"/>
      </w:pPr>
      <w:r>
        <w:rPr>
          <w:rFonts w:ascii="Calibri" w:eastAsia="Calibri" w:hAnsi="Calibri" w:cs="Calibri"/>
          <w:b w:val="0"/>
        </w:rPr>
        <w:tab/>
      </w:r>
      <w:r>
        <w:rPr>
          <w:rFonts w:ascii="Calibri" w:eastAsia="Calibri" w:hAnsi="Calibri" w:cs="Calibri"/>
          <w:sz w:val="24"/>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TOTAL 2020 </w:t>
      </w:r>
      <w:r>
        <w:rPr>
          <w:rFonts w:ascii="Times New Roman" w:eastAsia="Times New Roman" w:hAnsi="Times New Roman" w:cs="Times New Roman"/>
          <w:sz w:val="24"/>
        </w:rPr>
        <w:tab/>
      </w:r>
      <w:r>
        <w:rPr>
          <w:rFonts w:ascii="Calibri" w:eastAsia="Calibri" w:hAnsi="Calibri" w:cs="Calibri"/>
          <w:sz w:val="24"/>
        </w:rPr>
        <w:t xml:space="preserve">3934,99 </w:t>
      </w:r>
    </w:p>
    <w:tbl>
      <w:tblPr>
        <w:tblStyle w:val="TableGrid"/>
        <w:tblW w:w="3879" w:type="dxa"/>
        <w:tblInd w:w="5072" w:type="dxa"/>
        <w:tblCellMar>
          <w:top w:w="77" w:type="dxa"/>
          <w:left w:w="67" w:type="dxa"/>
          <w:bottom w:w="0" w:type="dxa"/>
          <w:right w:w="15" w:type="dxa"/>
        </w:tblCellMar>
        <w:tblLook w:val="04A0" w:firstRow="1" w:lastRow="0" w:firstColumn="1" w:lastColumn="0" w:noHBand="0" w:noVBand="1"/>
      </w:tblPr>
      <w:tblGrid>
        <w:gridCol w:w="2679"/>
        <w:gridCol w:w="1201"/>
      </w:tblGrid>
      <w:tr w:rsidR="00FA7413">
        <w:trPr>
          <w:trHeight w:val="326"/>
        </w:trPr>
        <w:tc>
          <w:tcPr>
            <w:tcW w:w="2679" w:type="dxa"/>
            <w:tcBorders>
              <w:top w:val="single" w:sz="4" w:space="0" w:color="000000"/>
              <w:left w:val="single" w:sz="4" w:space="0" w:color="000000"/>
              <w:bottom w:val="single" w:sz="4" w:space="0" w:color="000000"/>
              <w:right w:val="single" w:sz="4" w:space="0" w:color="000000"/>
            </w:tcBorders>
          </w:tcPr>
          <w:p w:rsidR="00FA7413" w:rsidRDefault="00D712A8">
            <w:pPr>
              <w:spacing w:after="0"/>
              <w:jc w:val="both"/>
            </w:pPr>
            <w:r>
              <w:rPr>
                <w:b/>
                <w:sz w:val="24"/>
              </w:rPr>
              <w:t xml:space="preserve">Total Sal. de Tramitación </w:t>
            </w:r>
          </w:p>
        </w:tc>
        <w:tc>
          <w:tcPr>
            <w:tcW w:w="120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4"/>
              <w:jc w:val="right"/>
            </w:pPr>
            <w:r>
              <w:rPr>
                <w:b/>
                <w:sz w:val="24"/>
              </w:rPr>
              <w:t xml:space="preserve">8836,94 </w:t>
            </w:r>
          </w:p>
        </w:tc>
      </w:tr>
    </w:tbl>
    <w:p w:rsidR="00FA7413" w:rsidRDefault="00D712A8">
      <w:pPr>
        <w:spacing w:after="0"/>
        <w:ind w:left="360"/>
      </w:pPr>
      <w:r>
        <w:rPr>
          <w:rFonts w:ascii="Arial" w:eastAsia="Arial" w:hAnsi="Arial" w:cs="Arial"/>
          <w:b/>
        </w:rPr>
        <w:t xml:space="preserve"> </w:t>
      </w:r>
    </w:p>
    <w:p w:rsidR="00FA7413" w:rsidRDefault="00D712A8">
      <w:pPr>
        <w:spacing w:after="48" w:line="248" w:lineRule="auto"/>
        <w:ind w:left="355" w:right="64" w:hanging="10"/>
        <w:jc w:val="both"/>
      </w:pPr>
      <w:r>
        <w:rPr>
          <w:rFonts w:ascii="Arial" w:eastAsia="Arial" w:hAnsi="Arial" w:cs="Arial"/>
          <w:b/>
        </w:rPr>
        <w:t>Tercero</w:t>
      </w:r>
      <w:r>
        <w:rPr>
          <w:rFonts w:ascii="Arial" w:eastAsia="Arial" w:hAnsi="Arial" w:cs="Arial"/>
        </w:rPr>
        <w:t xml:space="preserve">: Aprobar, disponer y reconocer el gasto por el importe bruto de </w:t>
      </w:r>
      <w:r>
        <w:rPr>
          <w:rFonts w:ascii="Arial" w:eastAsia="Arial" w:hAnsi="Arial" w:cs="Arial"/>
          <w:b/>
        </w:rPr>
        <w:t>8836,94 euros</w:t>
      </w:r>
      <w:r>
        <w:rPr>
          <w:rFonts w:ascii="Arial" w:eastAsia="Arial" w:hAnsi="Arial" w:cs="Arial"/>
        </w:rPr>
        <w:t xml:space="preserve">, </w:t>
      </w:r>
      <w:r>
        <w:rPr>
          <w:rFonts w:ascii="Arial" w:eastAsia="Arial" w:hAnsi="Arial" w:cs="Arial"/>
        </w:rPr>
        <w:t xml:space="preserve">correspondientes a salarios de tramitación devengados durante el periodo de 01 de enero de 2019 y el 19 de octubre de 2020, con cargo a la aplicación presupuestaria </w:t>
      </w:r>
      <w:r>
        <w:rPr>
          <w:rFonts w:ascii="Arial" w:eastAsia="Arial" w:hAnsi="Arial" w:cs="Arial"/>
          <w:b/>
        </w:rPr>
        <w:t>2020.92000.13100</w:t>
      </w: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(2.21.0.03742), así como la cantidad correspondiente al 10% de intereses </w:t>
      </w:r>
      <w:r>
        <w:rPr>
          <w:rFonts w:ascii="Arial" w:eastAsia="Arial" w:hAnsi="Arial" w:cs="Arial"/>
        </w:rPr>
        <w:t>por mora (883.69 euros)</w:t>
      </w:r>
      <w:r>
        <w:rPr>
          <w:rFonts w:ascii="Arial" w:eastAsia="Arial" w:hAnsi="Arial" w:cs="Arial"/>
          <w:b/>
          <w:sz w:val="28"/>
        </w:rPr>
        <w:t xml:space="preserve"> </w:t>
      </w:r>
    </w:p>
    <w:p w:rsidR="00FA7413" w:rsidRDefault="00D712A8">
      <w:pPr>
        <w:spacing w:after="0"/>
        <w:ind w:left="360"/>
      </w:pPr>
      <w:r>
        <w:rPr>
          <w:rFonts w:ascii="Arial" w:eastAsia="Arial" w:hAnsi="Arial" w:cs="Arial"/>
          <w:b/>
        </w:rPr>
        <w:t xml:space="preserve"> </w:t>
      </w:r>
    </w:p>
    <w:p w:rsidR="00FA7413" w:rsidRDefault="00D712A8">
      <w:pPr>
        <w:spacing w:after="0" w:line="248" w:lineRule="auto"/>
        <w:ind w:left="355" w:right="64" w:hanging="10"/>
        <w:jc w:val="both"/>
      </w:pPr>
      <w:r>
        <w:rPr>
          <w:noProof/>
        </w:rPr>
        <mc:AlternateContent>
          <mc:Choice Requires="wpg">
            <w:drawing>
              <wp:anchor distT="0" distB="0" distL="114300" distR="114300" simplePos="0" relativeHeight="251812864"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27890" name="Group 227890"/>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9305" name="Rectangle 19305"/>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9306" name="Rectangle 19306"/>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150 de 180 </w:t>
                              </w:r>
                            </w:p>
                          </w:txbxContent>
                        </wps:txbx>
                        <wps:bodyPr horzOverflow="overflow" vert="horz" lIns="0" tIns="0" rIns="0" bIns="0" rtlCol="0">
                          <a:noAutofit/>
                        </wps:bodyPr>
                      </wps:wsp>
                    </wpg:wgp>
                  </a:graphicData>
                </a:graphic>
              </wp:anchor>
            </w:drawing>
          </mc:Choice>
          <mc:Fallback xmlns:a="http://schemas.openxmlformats.org/drawingml/2006/main">
            <w:pict>
              <v:group id="Group 227890" style="width:12.7031pt;height:275.586pt;position:absolute;mso-position-horizontal-relative:page;mso-position-horizontal:absolute;margin-left:682.278pt;mso-position-vertical-relative:page;margin-top:536.334pt;" coordsize="1613,34999">
                <v:rect id="Rectangle 19305"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9306"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150 de 180 </w:t>
                        </w:r>
                      </w:p>
                    </w:txbxContent>
                  </v:textbox>
                </v:rect>
                <w10:wrap type="square"/>
              </v:group>
            </w:pict>
          </mc:Fallback>
        </mc:AlternateContent>
      </w:r>
      <w:r>
        <w:rPr>
          <w:rFonts w:ascii="Arial" w:eastAsia="Arial" w:hAnsi="Arial" w:cs="Arial"/>
          <w:b/>
        </w:rPr>
        <w:t>Cuarto</w:t>
      </w:r>
      <w:r>
        <w:rPr>
          <w:rFonts w:ascii="Arial" w:eastAsia="Arial" w:hAnsi="Arial" w:cs="Arial"/>
        </w:rPr>
        <w:t>: Ordenar el pago, por im</w:t>
      </w:r>
      <w:r>
        <w:rPr>
          <w:rFonts w:ascii="Arial" w:eastAsia="Arial" w:hAnsi="Arial" w:cs="Arial"/>
        </w:rPr>
        <w:t xml:space="preserve">porte de </w:t>
      </w:r>
      <w:r>
        <w:rPr>
          <w:rFonts w:ascii="Arial" w:eastAsia="Arial" w:hAnsi="Arial" w:cs="Arial"/>
          <w:b/>
        </w:rPr>
        <w:t>8073,74 €</w:t>
      </w:r>
      <w:r>
        <w:rPr>
          <w:rFonts w:ascii="Arial" w:eastAsia="Arial" w:hAnsi="Arial" w:cs="Arial"/>
        </w:rPr>
        <w:t>, una vez realizados los correspondientes descuentos de IRPF (</w:t>
      </w:r>
      <w:r>
        <w:rPr>
          <w:rFonts w:ascii="Arial" w:eastAsia="Arial" w:hAnsi="Arial" w:cs="Arial"/>
          <w:b/>
        </w:rPr>
        <w:t>201,99</w:t>
      </w:r>
      <w:r>
        <w:rPr>
          <w:rFonts w:ascii="Arial" w:eastAsia="Arial" w:hAnsi="Arial" w:cs="Arial"/>
        </w:rPr>
        <w:t xml:space="preserve"> €) y Seguridad Social (561,21 €), con cargo a la aplicación presupuestaria </w:t>
      </w:r>
      <w:r>
        <w:rPr>
          <w:rFonts w:ascii="Arial" w:eastAsia="Arial" w:hAnsi="Arial" w:cs="Arial"/>
          <w:b/>
        </w:rPr>
        <w:t>2020.92000.13100</w:t>
      </w:r>
      <w:r>
        <w:rPr>
          <w:rFonts w:ascii="Arial" w:eastAsia="Arial" w:hAnsi="Arial" w:cs="Arial"/>
        </w:rPr>
        <w:t xml:space="preserve"> (2.20.0.03742).</w:t>
      </w:r>
      <w:r>
        <w:rPr>
          <w:rFonts w:ascii="Arial" w:eastAsia="Arial" w:hAnsi="Arial" w:cs="Arial"/>
          <w:b/>
          <w:sz w:val="28"/>
        </w:rPr>
        <w:t xml:space="preserve"> </w: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spacing w:after="90" w:line="249" w:lineRule="auto"/>
        <w:ind w:left="355" w:hanging="10"/>
      </w:pPr>
      <w:r>
        <w:rPr>
          <w:rFonts w:ascii="Times New Roman" w:eastAsia="Times New Roman" w:hAnsi="Times New Roman" w:cs="Times New Roman"/>
          <w:b/>
          <w:sz w:val="24"/>
        </w:rPr>
        <w:t>Quinto</w:t>
      </w:r>
      <w:r>
        <w:rPr>
          <w:rFonts w:ascii="Times New Roman" w:eastAsia="Times New Roman" w:hAnsi="Times New Roman" w:cs="Times New Roman"/>
          <w:sz w:val="24"/>
        </w:rPr>
        <w:t xml:space="preserve">: Dar traslado de la resolución que se adopte a la Intervención y Tesorería Municipal a los efectos oportunos. </w:t>
      </w:r>
    </w:p>
    <w:p w:rsidR="00FA7413" w:rsidRDefault="00D712A8">
      <w:pPr>
        <w:spacing w:after="76"/>
        <w:ind w:left="360"/>
      </w:pPr>
      <w:r>
        <w:rPr>
          <w:rFonts w:ascii="Times New Roman" w:eastAsia="Times New Roman" w:hAnsi="Times New Roman" w:cs="Times New Roman"/>
          <w:sz w:val="24"/>
        </w:rPr>
        <w:t xml:space="preserve"> </w:t>
      </w:r>
    </w:p>
    <w:p w:rsidR="00FA7413" w:rsidRDefault="00D712A8">
      <w:pPr>
        <w:spacing w:after="70" w:line="249" w:lineRule="auto"/>
        <w:ind w:left="355" w:hanging="10"/>
      </w:pPr>
      <w:r>
        <w:rPr>
          <w:rFonts w:ascii="Times New Roman" w:eastAsia="Times New Roman" w:hAnsi="Times New Roman" w:cs="Times New Roman"/>
          <w:b/>
          <w:sz w:val="24"/>
        </w:rPr>
        <w:t>Sexto</w:t>
      </w:r>
      <w:r>
        <w:rPr>
          <w:rFonts w:ascii="Times New Roman" w:eastAsia="Times New Roman" w:hAnsi="Times New Roman" w:cs="Times New Roman"/>
          <w:sz w:val="24"/>
        </w:rPr>
        <w:t xml:space="preserve">: Notificar la Resolución que se adopte a la parte interesada. </w:t>
      </w:r>
    </w:p>
    <w:p w:rsidR="00FA7413" w:rsidRDefault="00D712A8">
      <w:pPr>
        <w:spacing w:after="103"/>
        <w:ind w:left="360"/>
      </w:pPr>
      <w:r>
        <w:rPr>
          <w:rFonts w:ascii="Arial" w:eastAsia="Arial" w:hAnsi="Arial" w:cs="Arial"/>
          <w:b/>
        </w:rPr>
        <w:t xml:space="preserve"> </w:t>
      </w:r>
    </w:p>
    <w:p w:rsidR="00FA7413" w:rsidRDefault="00D712A8">
      <w:pPr>
        <w:spacing w:after="109" w:line="248" w:lineRule="auto"/>
        <w:ind w:left="355" w:right="64" w:hanging="10"/>
        <w:jc w:val="both"/>
      </w:pPr>
      <w:r>
        <w:rPr>
          <w:rFonts w:ascii="Arial" w:eastAsia="Arial" w:hAnsi="Arial" w:cs="Arial"/>
        </w:rPr>
        <w:t>Lo manda y firma el Concejal delegado de Hacienda, Recursos Humanos, Empresas Municipales y Concesionarias (Decreto nº 2025/2019, de 24 de junio) de todo lo cual da fe pública el Secretario General en virtud de lo dispuesto en el artículo 3.2 e) y h) del R</w:t>
      </w:r>
      <w:r>
        <w:rPr>
          <w:rFonts w:ascii="Arial" w:eastAsia="Arial" w:hAnsi="Arial" w:cs="Arial"/>
        </w:rPr>
        <w:t xml:space="preserve">eal Decreto 128/2018, de 16 de marzo, por el que se regula el régimen jurídico de los funcionarios de Administración Local con habilitación de carácter nacional.” </w:t>
      </w:r>
    </w:p>
    <w:p w:rsidR="00FA7413" w:rsidRDefault="00D712A8">
      <w:pPr>
        <w:spacing w:after="98"/>
        <w:ind w:left="360"/>
      </w:pPr>
      <w:r>
        <w:rPr>
          <w:rFonts w:ascii="Arial" w:eastAsia="Arial" w:hAnsi="Arial" w:cs="Arial"/>
        </w:rPr>
        <w:t xml:space="preserve"> </w:t>
      </w:r>
    </w:p>
    <w:p w:rsidR="00FA7413" w:rsidRDefault="00D712A8">
      <w:pPr>
        <w:spacing w:after="98"/>
        <w:ind w:left="360"/>
      </w:pPr>
      <w:r>
        <w:rPr>
          <w:rFonts w:ascii="Arial" w:eastAsia="Arial" w:hAnsi="Arial" w:cs="Arial"/>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line="248" w:lineRule="auto"/>
        <w:ind w:left="355" w:right="62" w:hanging="10"/>
        <w:jc w:val="both"/>
      </w:pPr>
      <w:r>
        <w:rPr>
          <w:rFonts w:ascii="Arial" w:eastAsia="Arial" w:hAnsi="Arial" w:cs="Arial"/>
          <w:b/>
        </w:rPr>
        <w:t>Consta en el expediente Decreto 1760/2021, de fecha 23 de junio de 2021, que trans</w:t>
      </w:r>
      <w:r>
        <w:rPr>
          <w:rFonts w:ascii="Arial" w:eastAsia="Arial" w:hAnsi="Arial" w:cs="Arial"/>
          <w:b/>
        </w:rPr>
        <w:t xml:space="preserve">crito literalmente dice: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pStyle w:val="Ttulo2"/>
        <w:ind w:left="1013" w:right="720"/>
      </w:pPr>
      <w:r>
        <w:t>“DECRETO</w:t>
      </w:r>
      <w:r>
        <w:rPr>
          <w:b w:val="0"/>
        </w:rPr>
        <w:t xml:space="preserve"> </w:t>
      </w:r>
    </w:p>
    <w:p w:rsidR="00FA7413" w:rsidRDefault="00D712A8">
      <w:pPr>
        <w:spacing w:after="112" w:line="248" w:lineRule="auto"/>
        <w:ind w:left="355" w:right="62" w:hanging="10"/>
        <w:jc w:val="both"/>
      </w:pPr>
      <w:r>
        <w:rPr>
          <w:rFonts w:ascii="Arial" w:eastAsia="Arial" w:hAnsi="Arial" w:cs="Arial"/>
          <w:b/>
        </w:rPr>
        <w:t xml:space="preserve">Visto el informe jurídico con propuesta de resolución firmado por Doña María del Pilar Chico Delgado, técnico de Administración </w:t>
      </w:r>
      <w:r>
        <w:rPr>
          <w:rFonts w:ascii="Arial" w:eastAsia="Arial" w:hAnsi="Arial" w:cs="Arial"/>
          <w:b/>
        </w:rPr>
        <w:t xml:space="preserve">General y fiscalizado favorablemente por el Interventor Municipal D. Nicolás Rojo Garnica, que transcrito literalmente dice: </w:t>
      </w:r>
    </w:p>
    <w:p w:rsidR="00FA7413" w:rsidRDefault="00D712A8">
      <w:pPr>
        <w:pStyle w:val="Ttulo2"/>
        <w:ind w:left="1013" w:right="721"/>
      </w:pPr>
      <w:r>
        <w:t>ANTECEDENTES DE HECHO</w:t>
      </w:r>
      <w:r>
        <w:rPr>
          <w:b w:val="0"/>
        </w:rPr>
        <w:t xml:space="preserve"> </w:t>
      </w:r>
    </w:p>
    <w:p w:rsidR="00FA7413" w:rsidRDefault="00D712A8">
      <w:pPr>
        <w:spacing w:after="92" w:line="249" w:lineRule="auto"/>
        <w:ind w:left="355" w:hanging="10"/>
      </w:pPr>
      <w:r>
        <w:rPr>
          <w:rFonts w:ascii="Times New Roman" w:eastAsia="Times New Roman" w:hAnsi="Times New Roman" w:cs="Times New Roman"/>
          <w:sz w:val="24"/>
        </w:rPr>
        <w:t>Vista Diligencia de Ordenación de fecha 16 de junio de 2021, relativo a los datos que se indican a continua</w:t>
      </w:r>
      <w:r>
        <w:rPr>
          <w:rFonts w:ascii="Times New Roman" w:eastAsia="Times New Roman" w:hAnsi="Times New Roman" w:cs="Times New Roman"/>
          <w:sz w:val="24"/>
        </w:rPr>
        <w:t xml:space="preserve">ción, del siguiente tenor literal: </w:t>
      </w:r>
    </w:p>
    <w:p w:rsidR="00FA7413" w:rsidRDefault="00D712A8">
      <w:pPr>
        <w:spacing w:after="0"/>
        <w:ind w:right="1058"/>
        <w:jc w:val="right"/>
      </w:pPr>
      <w:r>
        <w:rPr>
          <w:noProof/>
        </w:rPr>
        <w:drawing>
          <wp:inline distT="0" distB="0" distL="0" distR="0">
            <wp:extent cx="5401057" cy="2247900"/>
            <wp:effectExtent l="0" t="0" r="0" b="0"/>
            <wp:docPr id="19447" name="Picture 19447"/>
            <wp:cNvGraphicFramePr/>
            <a:graphic xmlns:a="http://schemas.openxmlformats.org/drawingml/2006/main">
              <a:graphicData uri="http://schemas.openxmlformats.org/drawingml/2006/picture">
                <pic:pic xmlns:pic="http://schemas.openxmlformats.org/drawingml/2006/picture">
                  <pic:nvPicPr>
                    <pic:cNvPr id="19447" name="Picture 19447"/>
                    <pic:cNvPicPr/>
                  </pic:nvPicPr>
                  <pic:blipFill>
                    <a:blip r:embed="rId31"/>
                    <a:stretch>
                      <a:fillRect/>
                    </a:stretch>
                  </pic:blipFill>
                  <pic:spPr>
                    <a:xfrm>
                      <a:off x="0" y="0"/>
                      <a:ext cx="5401057" cy="2247900"/>
                    </a:xfrm>
                    <a:prstGeom prst="rect">
                      <a:avLst/>
                    </a:prstGeom>
                  </pic:spPr>
                </pic:pic>
              </a:graphicData>
            </a:graphic>
          </wp:inline>
        </w:drawing>
      </w:r>
      <w:r>
        <w:rPr>
          <w:rFonts w:ascii="Arial" w:eastAsia="Arial" w:hAnsi="Arial" w:cs="Arial"/>
        </w:rPr>
        <w:t xml:space="preserve"> </w:t>
      </w:r>
    </w:p>
    <w:p w:rsidR="00FA7413" w:rsidRDefault="00D712A8">
      <w:pPr>
        <w:spacing w:after="108"/>
        <w:ind w:left="355" w:hanging="10"/>
      </w:pPr>
      <w:r>
        <w:rPr>
          <w:noProof/>
        </w:rPr>
        <mc:AlternateContent>
          <mc:Choice Requires="wpg">
            <w:drawing>
              <wp:anchor distT="0" distB="0" distL="114300" distR="114300" simplePos="0" relativeHeight="251813888"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23166" name="Group 223166"/>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9450" name="Rectangle 19450"/>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9451" name="Rectangle 19451"/>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151 de 180 </w:t>
                              </w:r>
                            </w:p>
                          </w:txbxContent>
                        </wps:txbx>
                        <wps:bodyPr horzOverflow="overflow" vert="horz" lIns="0" tIns="0" rIns="0" bIns="0" rtlCol="0">
                          <a:noAutofit/>
                        </wps:bodyPr>
                      </wps:wsp>
                    </wpg:wgp>
                  </a:graphicData>
                </a:graphic>
              </wp:anchor>
            </w:drawing>
          </mc:Choice>
          <mc:Fallback xmlns:a="http://schemas.openxmlformats.org/drawingml/2006/main">
            <w:pict>
              <v:group id="Group 223166" style="width:12.7031pt;height:275.586pt;position:absolute;mso-position-horizontal-relative:page;mso-position-horizontal:absolute;margin-left:682.278pt;mso-position-vertical-relative:page;margin-top:536.334pt;" coordsize="1613,34999">
                <v:rect id="Rectangle 19450"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9451"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151 de 180 </w:t>
                        </w:r>
                      </w:p>
                    </w:txbxContent>
                  </v:textbox>
                </v:rect>
                <w10:wrap type="square"/>
              </v:group>
            </w:pict>
          </mc:Fallback>
        </mc:AlternateContent>
      </w:r>
      <w:r>
        <w:rPr>
          <w:rFonts w:ascii="Times New Roman" w:eastAsia="Times New Roman" w:hAnsi="Times New Roman" w:cs="Times New Roman"/>
          <w:sz w:val="23"/>
        </w:rPr>
        <w:t xml:space="preserve"> (…) </w:t>
      </w:r>
    </w:p>
    <w:p w:rsidR="00FA7413" w:rsidRDefault="00D712A8">
      <w:pPr>
        <w:spacing w:after="9" w:line="250" w:lineRule="auto"/>
        <w:ind w:left="355" w:right="62" w:hanging="10"/>
        <w:jc w:val="both"/>
      </w:pPr>
      <w:r>
        <w:rPr>
          <w:rFonts w:ascii="Times New Roman" w:eastAsia="Times New Roman" w:hAnsi="Times New Roman" w:cs="Times New Roman"/>
          <w:b/>
          <w:sz w:val="24"/>
        </w:rPr>
        <w:t>“</w:t>
      </w:r>
      <w:r>
        <w:rPr>
          <w:rFonts w:ascii="Times New Roman" w:eastAsia="Times New Roman" w:hAnsi="Times New Roman" w:cs="Times New Roman"/>
          <w:b/>
          <w:sz w:val="23"/>
        </w:rPr>
        <w:t xml:space="preserve">TRASLADO DE </w:t>
      </w:r>
      <w:r>
        <w:rPr>
          <w:rFonts w:ascii="Times New Roman" w:eastAsia="Times New Roman" w:hAnsi="Times New Roman" w:cs="Times New Roman"/>
          <w:b/>
          <w:sz w:val="23"/>
        </w:rPr>
        <w:t>PROPUESTA DE LIQUIDACION DE INTERESES Y TASACION DE COS-</w:t>
      </w:r>
    </w:p>
    <w:p w:rsidR="00FA7413" w:rsidRDefault="00D712A8">
      <w:pPr>
        <w:spacing w:after="9" w:line="250" w:lineRule="auto"/>
        <w:ind w:left="355" w:right="62" w:hanging="10"/>
        <w:jc w:val="both"/>
      </w:pPr>
      <w:r>
        <w:rPr>
          <w:rFonts w:ascii="Times New Roman" w:eastAsia="Times New Roman" w:hAnsi="Times New Roman" w:cs="Times New Roman"/>
          <w:b/>
          <w:sz w:val="23"/>
        </w:rPr>
        <w:t>TAS</w:t>
      </w:r>
      <w:r>
        <w:rPr>
          <w:rFonts w:ascii="Times New Roman" w:eastAsia="Times New Roman" w:hAnsi="Times New Roman" w:cs="Times New Roman"/>
          <w:sz w:val="24"/>
        </w:rPr>
        <w:t xml:space="preserve"> </w:t>
      </w:r>
    </w:p>
    <w:p w:rsidR="00FA7413" w:rsidRDefault="00D712A8">
      <w:pPr>
        <w:spacing w:after="0"/>
        <w:ind w:left="360"/>
      </w:pPr>
      <w:r>
        <w:rPr>
          <w:rFonts w:ascii="Times New Roman" w:eastAsia="Times New Roman" w:hAnsi="Times New Roman" w:cs="Times New Roman"/>
          <w:b/>
          <w:sz w:val="23"/>
        </w:rPr>
        <w:t xml:space="preserve"> </w:t>
      </w:r>
    </w:p>
    <w:p w:rsidR="00FA7413" w:rsidRDefault="00D712A8">
      <w:pPr>
        <w:spacing w:after="103" w:line="250" w:lineRule="auto"/>
        <w:ind w:left="355" w:right="62" w:hanging="10"/>
        <w:jc w:val="both"/>
      </w:pPr>
      <w:r>
        <w:rPr>
          <w:rFonts w:ascii="Times New Roman" w:eastAsia="Times New Roman" w:hAnsi="Times New Roman" w:cs="Times New Roman"/>
          <w:b/>
          <w:sz w:val="23"/>
        </w:rPr>
        <w:t xml:space="preserve">I.- PROPUESTA DE LIQUIDACION DE INTERESES </w:t>
      </w:r>
      <w:r>
        <w:rPr>
          <w:rFonts w:ascii="Times New Roman" w:eastAsia="Times New Roman" w:hAnsi="Times New Roman" w:cs="Times New Roman"/>
          <w:sz w:val="23"/>
        </w:rPr>
        <w:t xml:space="preserve">que presenta la ejecutante y de la que se da tralado al ejecutado </w:t>
      </w:r>
      <w:r>
        <w:rPr>
          <w:rFonts w:ascii="Times New Roman" w:eastAsia="Times New Roman" w:hAnsi="Times New Roman" w:cs="Times New Roman"/>
          <w:b/>
          <w:sz w:val="23"/>
        </w:rPr>
        <w:t>DESGLOSADA EN ESCRITO DE LA PARTE.</w:t>
      </w:r>
      <w:r>
        <w:rPr>
          <w:rFonts w:ascii="Times New Roman" w:eastAsia="Times New Roman" w:hAnsi="Times New Roman" w:cs="Times New Roman"/>
          <w:sz w:val="24"/>
        </w:rPr>
        <w:t xml:space="preserve"> </w:t>
      </w:r>
      <w:r>
        <w:rPr>
          <w:rFonts w:ascii="Times New Roman" w:eastAsia="Times New Roman" w:hAnsi="Times New Roman" w:cs="Times New Roman"/>
          <w:b/>
          <w:sz w:val="23"/>
        </w:rPr>
        <w:t>SUMA TOTAL DE INTERESES SEGUN PROPUESTA: 2.145,43</w:t>
      </w:r>
      <w:r>
        <w:rPr>
          <w:rFonts w:ascii="Times New Roman" w:eastAsia="Times New Roman" w:hAnsi="Times New Roman" w:cs="Times New Roman"/>
          <w:b/>
          <w:sz w:val="23"/>
        </w:rPr>
        <w:t xml:space="preserve"> EUROS </w:t>
      </w:r>
    </w:p>
    <w:p w:rsidR="00FA7413" w:rsidRDefault="00D712A8">
      <w:pPr>
        <w:spacing w:after="91"/>
        <w:ind w:left="355" w:hanging="10"/>
      </w:pPr>
      <w:r>
        <w:rPr>
          <w:rFonts w:ascii="Times New Roman" w:eastAsia="Times New Roman" w:hAnsi="Times New Roman" w:cs="Times New Roman"/>
          <w:b/>
          <w:sz w:val="23"/>
        </w:rPr>
        <w:t>II.- DILIGENCIA TASACION DE COSTAS</w:t>
      </w:r>
      <w:r>
        <w:rPr>
          <w:rFonts w:ascii="Times New Roman" w:eastAsia="Times New Roman" w:hAnsi="Times New Roman" w:cs="Times New Roman"/>
          <w:sz w:val="23"/>
        </w:rPr>
        <w:t>, que practica el Letrado de la Administración de Justicia que suscribe en los autos arriba referidos en el día de la fecha.</w:t>
      </w:r>
      <w:r>
        <w:rPr>
          <w:rFonts w:ascii="Times New Roman" w:eastAsia="Times New Roman" w:hAnsi="Times New Roman" w:cs="Times New Roman"/>
          <w:sz w:val="24"/>
        </w:rPr>
        <w:t xml:space="preserve"> </w:t>
      </w:r>
    </w:p>
    <w:p w:rsidR="00FA7413" w:rsidRDefault="00D712A8">
      <w:pPr>
        <w:spacing w:after="2"/>
        <w:ind w:left="355" w:hanging="10"/>
      </w:pPr>
      <w:r>
        <w:rPr>
          <w:rFonts w:ascii="Times New Roman" w:eastAsia="Times New Roman" w:hAnsi="Times New Roman" w:cs="Times New Roman"/>
          <w:sz w:val="23"/>
        </w:rPr>
        <w:t xml:space="preserve">- Minuta del letrado/a D./Dña. FERNANDO MARTINEZ BARONA FLORES, por importe de 1.186,60 </w:t>
      </w:r>
    </w:p>
    <w:p w:rsidR="00FA7413" w:rsidRDefault="00D712A8">
      <w:pPr>
        <w:spacing w:after="104"/>
        <w:ind w:left="355" w:hanging="10"/>
      </w:pPr>
      <w:r>
        <w:rPr>
          <w:rFonts w:ascii="Times New Roman" w:eastAsia="Times New Roman" w:hAnsi="Times New Roman" w:cs="Times New Roman"/>
          <w:sz w:val="23"/>
        </w:rPr>
        <w:t xml:space="preserve">-€, </w:t>
      </w:r>
    </w:p>
    <w:p w:rsidR="00FA7413" w:rsidRDefault="00D712A8">
      <w:pPr>
        <w:spacing w:after="2"/>
        <w:ind w:left="355" w:hanging="10"/>
      </w:pPr>
      <w:r>
        <w:rPr>
          <w:rFonts w:ascii="Times New Roman" w:eastAsia="Times New Roman" w:hAnsi="Times New Roman" w:cs="Times New Roman"/>
          <w:sz w:val="23"/>
        </w:rPr>
        <w:t xml:space="preserve">Asciende la presente Tasación (s.e.u.o.) a la cantidad de </w:t>
      </w:r>
      <w:r>
        <w:rPr>
          <w:rFonts w:ascii="Times New Roman" w:eastAsia="Times New Roman" w:hAnsi="Times New Roman" w:cs="Times New Roman"/>
          <w:b/>
          <w:sz w:val="23"/>
        </w:rPr>
        <w:t>1.186,60.-EUROS</w:t>
      </w:r>
      <w:r>
        <w:rPr>
          <w:rFonts w:ascii="Times New Roman" w:eastAsia="Times New Roman" w:hAnsi="Times New Roman" w:cs="Times New Roman"/>
          <w:sz w:val="24"/>
        </w:rPr>
        <w:t xml:space="preserve"> </w:t>
      </w:r>
    </w:p>
    <w:p w:rsidR="00FA7413" w:rsidRDefault="00D712A8">
      <w:pPr>
        <w:spacing w:after="2"/>
        <w:ind w:left="355" w:hanging="10"/>
      </w:pPr>
      <w:r>
        <w:rPr>
          <w:rFonts w:ascii="Times New Roman" w:eastAsia="Times New Roman" w:hAnsi="Times New Roman" w:cs="Times New Roman"/>
          <w:sz w:val="23"/>
        </w:rPr>
        <w:t xml:space="preserve">---------------------------------------------------------------------------------------------- </w:t>
      </w:r>
    </w:p>
    <w:p w:rsidR="00FA7413" w:rsidRDefault="00D712A8">
      <w:pPr>
        <w:spacing w:after="9" w:line="250" w:lineRule="auto"/>
        <w:ind w:left="355" w:right="62" w:hanging="10"/>
        <w:jc w:val="both"/>
      </w:pPr>
      <w:r>
        <w:rPr>
          <w:rFonts w:ascii="Times New Roman" w:eastAsia="Times New Roman" w:hAnsi="Times New Roman" w:cs="Times New Roman"/>
          <w:b/>
          <w:sz w:val="23"/>
        </w:rPr>
        <w:t xml:space="preserve">SUMA DE INTERESES Y COSTAS: 3.332,03 EUROS </w:t>
      </w:r>
    </w:p>
    <w:p w:rsidR="00FA7413" w:rsidRDefault="00D712A8">
      <w:pPr>
        <w:spacing w:after="101" w:line="250" w:lineRule="auto"/>
        <w:ind w:left="355" w:right="62" w:hanging="10"/>
        <w:jc w:val="both"/>
      </w:pPr>
      <w:r>
        <w:rPr>
          <w:rFonts w:ascii="Times New Roman" w:eastAsia="Times New Roman" w:hAnsi="Times New Roman" w:cs="Times New Roman"/>
          <w:b/>
          <w:sz w:val="23"/>
        </w:rPr>
        <w:t>-----------------------------------</w:t>
      </w:r>
      <w:r>
        <w:rPr>
          <w:rFonts w:ascii="Times New Roman" w:eastAsia="Times New Roman" w:hAnsi="Times New Roman" w:cs="Times New Roman"/>
          <w:b/>
          <w:sz w:val="23"/>
        </w:rPr>
        <w:t xml:space="preserve">----------------------------------------------------------- </w:t>
      </w:r>
      <w:r>
        <w:rPr>
          <w:rFonts w:ascii="Times New Roman" w:eastAsia="Times New Roman" w:hAnsi="Times New Roman" w:cs="Times New Roman"/>
          <w:b/>
          <w:sz w:val="24"/>
        </w:rPr>
        <w:t>“</w:t>
      </w:r>
      <w:r>
        <w:rPr>
          <w:rFonts w:ascii="Times New Roman" w:eastAsia="Times New Roman" w:hAnsi="Times New Roman" w:cs="Times New Roman"/>
          <w:sz w:val="24"/>
        </w:rPr>
        <w:t xml:space="preserve"> </w:t>
      </w:r>
    </w:p>
    <w:p w:rsidR="00FA7413" w:rsidRDefault="00D712A8">
      <w:pPr>
        <w:spacing w:after="210" w:line="248" w:lineRule="auto"/>
        <w:ind w:left="355" w:right="64" w:hanging="10"/>
        <w:jc w:val="both"/>
      </w:pPr>
      <w:r>
        <w:rPr>
          <w:rFonts w:ascii="Arial" w:eastAsia="Arial" w:hAnsi="Arial" w:cs="Arial"/>
        </w:rPr>
        <w:t xml:space="preserve">Visto documento de retención de crédito </w:t>
      </w:r>
      <w:r>
        <w:rPr>
          <w:rFonts w:ascii="Arial" w:eastAsia="Arial" w:hAnsi="Arial" w:cs="Arial"/>
          <w:b/>
        </w:rPr>
        <w:t>RC 2.21.0.04790</w:t>
      </w:r>
      <w:r>
        <w:rPr>
          <w:rFonts w:ascii="Arial" w:eastAsia="Arial" w:hAnsi="Arial" w:cs="Arial"/>
        </w:rPr>
        <w:t>.</w:t>
      </w:r>
      <w:r>
        <w:rPr>
          <w:rFonts w:ascii="Times New Roman" w:eastAsia="Times New Roman" w:hAnsi="Times New Roman" w:cs="Times New Roman"/>
          <w:sz w:val="24"/>
        </w:rPr>
        <w:t xml:space="preserve"> </w:t>
      </w:r>
    </w:p>
    <w:p w:rsidR="00FA7413" w:rsidRDefault="00D712A8">
      <w:pPr>
        <w:pStyle w:val="Ttulo2"/>
        <w:ind w:left="1013" w:right="719"/>
      </w:pPr>
      <w:r>
        <w:t>FUNDAMIENTOS DE DERECHO</w:t>
      </w:r>
      <w:r>
        <w:rPr>
          <w:b w:val="0"/>
        </w:rPr>
        <w:t xml:space="preserve"> </w:t>
      </w:r>
    </w:p>
    <w:p w:rsidR="00FA7413" w:rsidRDefault="00D712A8">
      <w:pPr>
        <w:spacing w:after="79" w:line="248" w:lineRule="auto"/>
        <w:ind w:left="355" w:right="64" w:hanging="10"/>
        <w:jc w:val="both"/>
      </w:pPr>
      <w:r>
        <w:rPr>
          <w:rFonts w:ascii="Arial" w:eastAsia="Arial" w:hAnsi="Arial" w:cs="Arial"/>
        </w:rPr>
        <w:t>Resultan de aplicación los siguientes:</w:t>
      </w:r>
      <w:r>
        <w:rPr>
          <w:rFonts w:ascii="Times New Roman" w:eastAsia="Times New Roman" w:hAnsi="Times New Roman" w:cs="Times New Roman"/>
          <w:sz w:val="24"/>
        </w:rPr>
        <w:t xml:space="preserve"> </w:t>
      </w:r>
    </w:p>
    <w:p w:rsidR="00FA7413" w:rsidRDefault="00D712A8">
      <w:pPr>
        <w:numPr>
          <w:ilvl w:val="0"/>
          <w:numId w:val="40"/>
        </w:numPr>
        <w:spacing w:after="11" w:line="248" w:lineRule="auto"/>
        <w:ind w:right="64" w:hanging="360"/>
        <w:jc w:val="both"/>
      </w:pPr>
      <w:r>
        <w:rPr>
          <w:rFonts w:ascii="Arial" w:eastAsia="Arial" w:hAnsi="Arial" w:cs="Arial"/>
        </w:rPr>
        <w:t xml:space="preserve">El artículo 118 de la Constitución Española. </w:t>
      </w:r>
    </w:p>
    <w:p w:rsidR="00FA7413" w:rsidRDefault="00D712A8">
      <w:pPr>
        <w:numPr>
          <w:ilvl w:val="0"/>
          <w:numId w:val="40"/>
        </w:numPr>
        <w:spacing w:after="109" w:line="248" w:lineRule="auto"/>
        <w:ind w:right="64" w:hanging="360"/>
        <w:jc w:val="both"/>
      </w:pPr>
      <w:r>
        <w:rPr>
          <w:rFonts w:ascii="Arial" w:eastAsia="Arial" w:hAnsi="Arial" w:cs="Arial"/>
        </w:rPr>
        <w:t xml:space="preserve">Los artículos 17 y 25 de la Ley Orgánica 6/1985, de 1 de julio, del Poder Judicial. </w:t>
      </w:r>
    </w:p>
    <w:p w:rsidR="00FA7413" w:rsidRDefault="00D712A8">
      <w:pPr>
        <w:numPr>
          <w:ilvl w:val="0"/>
          <w:numId w:val="40"/>
        </w:numPr>
        <w:spacing w:after="109" w:line="248" w:lineRule="auto"/>
        <w:ind w:right="64" w:hanging="360"/>
        <w:jc w:val="both"/>
      </w:pPr>
      <w:r>
        <w:rPr>
          <w:rFonts w:ascii="Arial" w:eastAsia="Arial" w:hAnsi="Arial" w:cs="Arial"/>
        </w:rPr>
        <w:t xml:space="preserve">Los artículos 287 y 288 de la Ley 36/2011, de 10 de octubre, reguladora de la jurisdicción social. </w:t>
      </w:r>
    </w:p>
    <w:p w:rsidR="00FA7413" w:rsidRDefault="00D712A8">
      <w:pPr>
        <w:spacing w:after="213" w:line="248" w:lineRule="auto"/>
        <w:ind w:left="355" w:right="64" w:hanging="10"/>
        <w:jc w:val="both"/>
      </w:pPr>
      <w:r>
        <w:rPr>
          <w:rFonts w:ascii="Arial" w:eastAsia="Arial" w:hAnsi="Arial" w:cs="Arial"/>
        </w:rPr>
        <w:t>En base a los antecedentes de hecho y fundamentos de derecho expuestos,</w:t>
      </w:r>
      <w:r>
        <w:rPr>
          <w:rFonts w:ascii="Arial" w:eastAsia="Arial" w:hAnsi="Arial" w:cs="Arial"/>
        </w:rPr>
        <w:t xml:space="preserve"> la Técnica de Administración General que suscribe formula la siguiente. </w:t>
      </w:r>
      <w:r>
        <w:rPr>
          <w:rFonts w:ascii="Times New Roman" w:eastAsia="Times New Roman" w:hAnsi="Times New Roman" w:cs="Times New Roman"/>
          <w:sz w:val="24"/>
        </w:rPr>
        <w:t xml:space="preserve"> </w:t>
      </w:r>
    </w:p>
    <w:p w:rsidR="00FA7413" w:rsidRDefault="00D712A8">
      <w:pPr>
        <w:pStyle w:val="Ttulo2"/>
        <w:ind w:left="1013" w:right="714"/>
      </w:pPr>
      <w:r>
        <w:t>PROPUESTA DE RESOLUCIÓN</w:t>
      </w:r>
      <w:r>
        <w:rPr>
          <w:b w:val="0"/>
        </w:rPr>
        <w:t xml:space="preserve"> </w:t>
      </w:r>
    </w:p>
    <w:p w:rsidR="00FA7413" w:rsidRDefault="00D712A8">
      <w:pPr>
        <w:spacing w:after="109" w:line="248" w:lineRule="auto"/>
        <w:ind w:left="355" w:right="64" w:hanging="10"/>
        <w:jc w:val="both"/>
      </w:pPr>
      <w:r>
        <w:rPr>
          <w:rFonts w:ascii="Arial" w:eastAsia="Arial" w:hAnsi="Arial" w:cs="Arial"/>
          <w:b/>
        </w:rPr>
        <w:t>PRIMERO. -</w:t>
      </w:r>
      <w:r>
        <w:rPr>
          <w:rFonts w:ascii="Arial" w:eastAsia="Arial" w:hAnsi="Arial" w:cs="Arial"/>
        </w:rPr>
        <w:t xml:space="preserve"> Dar cumplimiento a la Diligencia del Juzgado en relación con el expediente cuyos datos se transcriben a continuación: </w:t>
      </w:r>
    </w:p>
    <w:p w:rsidR="00FA7413" w:rsidRDefault="00D712A8">
      <w:pPr>
        <w:spacing w:after="0"/>
        <w:ind w:right="1059"/>
        <w:jc w:val="right"/>
      </w:pPr>
      <w:r>
        <w:rPr>
          <w:noProof/>
        </w:rPr>
        <w:drawing>
          <wp:inline distT="0" distB="0" distL="0" distR="0">
            <wp:extent cx="5401057" cy="2247900"/>
            <wp:effectExtent l="0" t="0" r="0" b="0"/>
            <wp:docPr id="19546" name="Picture 19546"/>
            <wp:cNvGraphicFramePr/>
            <a:graphic xmlns:a="http://schemas.openxmlformats.org/drawingml/2006/main">
              <a:graphicData uri="http://schemas.openxmlformats.org/drawingml/2006/picture">
                <pic:pic xmlns:pic="http://schemas.openxmlformats.org/drawingml/2006/picture">
                  <pic:nvPicPr>
                    <pic:cNvPr id="19546" name="Picture 19546"/>
                    <pic:cNvPicPr/>
                  </pic:nvPicPr>
                  <pic:blipFill>
                    <a:blip r:embed="rId31"/>
                    <a:stretch>
                      <a:fillRect/>
                    </a:stretch>
                  </pic:blipFill>
                  <pic:spPr>
                    <a:xfrm>
                      <a:off x="0" y="0"/>
                      <a:ext cx="5401057" cy="2247900"/>
                    </a:xfrm>
                    <a:prstGeom prst="rect">
                      <a:avLst/>
                    </a:prstGeom>
                  </pic:spPr>
                </pic:pic>
              </a:graphicData>
            </a:graphic>
          </wp:inline>
        </w:drawing>
      </w:r>
      <w:r>
        <w:rPr>
          <w:rFonts w:ascii="Times New Roman" w:eastAsia="Times New Roman" w:hAnsi="Times New Roman" w:cs="Times New Roman"/>
          <w:sz w:val="24"/>
        </w:rPr>
        <w:t xml:space="preserve"> </w:t>
      </w:r>
    </w:p>
    <w:p w:rsidR="00FA7413" w:rsidRDefault="00D712A8">
      <w:pPr>
        <w:spacing w:after="0"/>
        <w:ind w:left="360"/>
      </w:pPr>
      <w:r>
        <w:rPr>
          <w:noProof/>
        </w:rPr>
        <mc:AlternateContent>
          <mc:Choice Requires="wpg">
            <w:drawing>
              <wp:anchor distT="0" distB="0" distL="114300" distR="114300" simplePos="0" relativeHeight="251814912"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22275" name="Group 222275"/>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9549" name="Rectangle 19549"/>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Cód. Validación: 946</w:t>
                              </w:r>
                              <w:r>
                                <w:rPr>
                                  <w:rFonts w:ascii="Arial" w:eastAsia="Arial" w:hAnsi="Arial" w:cs="Arial"/>
                                  <w:sz w:val="12"/>
                                </w:rPr>
                                <w:t xml:space="preserve">JAL4TJAGYNDDM76ZM7ZAYZ | Verificación: https://candelaria.sedelectronica.es/ </w:t>
                              </w:r>
                            </w:p>
                          </w:txbxContent>
                        </wps:txbx>
                        <wps:bodyPr horzOverflow="overflow" vert="horz" lIns="0" tIns="0" rIns="0" bIns="0" rtlCol="0">
                          <a:noAutofit/>
                        </wps:bodyPr>
                      </wps:wsp>
                      <wps:wsp>
                        <wps:cNvPr id="19550" name="Rectangle 19550"/>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152 de 180 </w:t>
                              </w:r>
                            </w:p>
                          </w:txbxContent>
                        </wps:txbx>
                        <wps:bodyPr horzOverflow="overflow" vert="horz" lIns="0" tIns="0" rIns="0" bIns="0" rtlCol="0">
                          <a:noAutofit/>
                        </wps:bodyPr>
                      </wps:wsp>
                    </wpg:wgp>
                  </a:graphicData>
                </a:graphic>
              </wp:anchor>
            </w:drawing>
          </mc:Choice>
          <mc:Fallback xmlns:a="http://schemas.openxmlformats.org/drawingml/2006/main">
            <w:pict>
              <v:group id="Group 222275" style="width:12.7031pt;height:275.586pt;position:absolute;mso-position-horizontal-relative:page;mso-position-horizontal:absolute;margin-left:682.278pt;mso-position-vertical-relative:page;margin-top:536.334pt;" coordsize="1613,34999">
                <v:rect id="Rectangle 19549"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9550"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152 de 180 </w:t>
                        </w:r>
                      </w:p>
                    </w:txbxContent>
                  </v:textbox>
                </v:rect>
                <w10:wrap type="square"/>
              </v:group>
            </w:pict>
          </mc:Fallback>
        </mc:AlternateContent>
      </w:r>
      <w:r>
        <w:rPr>
          <w:rFonts w:ascii="Arial" w:eastAsia="Arial" w:hAnsi="Arial" w:cs="Arial"/>
        </w:rPr>
        <w:t xml:space="preserve"> </w:t>
      </w:r>
    </w:p>
    <w:p w:rsidR="00FA7413" w:rsidRDefault="00D712A8">
      <w:pPr>
        <w:spacing w:after="109" w:line="248" w:lineRule="auto"/>
        <w:ind w:left="355" w:right="64" w:hanging="10"/>
        <w:jc w:val="both"/>
      </w:pPr>
      <w:r>
        <w:rPr>
          <w:rFonts w:ascii="Arial" w:eastAsia="Arial" w:hAnsi="Arial" w:cs="Arial"/>
          <w:b/>
        </w:rPr>
        <w:t xml:space="preserve">SEGUNDO. - </w:t>
      </w:r>
      <w:r>
        <w:rPr>
          <w:rFonts w:ascii="Arial" w:eastAsia="Arial" w:hAnsi="Arial" w:cs="Arial"/>
        </w:rPr>
        <w:t xml:space="preserve">Aprobar y ordenar el pago de la cantidad de </w:t>
      </w:r>
      <w:r>
        <w:rPr>
          <w:rFonts w:ascii="Arial" w:eastAsia="Arial" w:hAnsi="Arial" w:cs="Arial"/>
          <w:b/>
        </w:rPr>
        <w:t>3.332,03</w:t>
      </w:r>
      <w:r>
        <w:rPr>
          <w:rFonts w:ascii="Arial" w:eastAsia="Arial" w:hAnsi="Arial" w:cs="Arial"/>
        </w:rPr>
        <w:t xml:space="preserve"> </w:t>
      </w:r>
      <w:r>
        <w:rPr>
          <w:rFonts w:ascii="Arial" w:eastAsia="Arial" w:hAnsi="Arial" w:cs="Arial"/>
        </w:rPr>
        <w:t xml:space="preserve">euros en concepto de intereses y costas. </w:t>
      </w:r>
    </w:p>
    <w:p w:rsidR="00FA7413" w:rsidRDefault="00D712A8">
      <w:pPr>
        <w:spacing w:after="109" w:line="248" w:lineRule="auto"/>
        <w:ind w:left="355" w:right="64" w:hanging="10"/>
        <w:jc w:val="both"/>
      </w:pPr>
      <w:r>
        <w:rPr>
          <w:rFonts w:ascii="Arial" w:eastAsia="Arial" w:hAnsi="Arial" w:cs="Arial"/>
          <w:b/>
        </w:rPr>
        <w:t>TERCERO. -</w:t>
      </w:r>
      <w:r>
        <w:rPr>
          <w:rFonts w:ascii="Arial" w:eastAsia="Arial" w:hAnsi="Arial" w:cs="Arial"/>
        </w:rPr>
        <w:t xml:space="preserve"> Que se proceda a realizar el ingreso de las cantidades reclamadas mediante ingreso en la cuenta de depósitos y consignaciones del Juzgado de los Social nº 6 de Santa Cruz de Tenerife, en el BANCO SANTAND</w:t>
      </w:r>
      <w:r>
        <w:rPr>
          <w:rFonts w:ascii="Arial" w:eastAsia="Arial" w:hAnsi="Arial" w:cs="Arial"/>
        </w:rPr>
        <w:t>ER c/c 3948/0000/64/0040/20; para el supuesto de ingreso por transferencia bancaria, deberá realizarse la misma al siguiente número de cuenta: IBAN ES55 0049 3569 9200 05001274.</w:t>
      </w:r>
      <w:r>
        <w:rPr>
          <w:rFonts w:ascii="Times New Roman" w:eastAsia="Times New Roman" w:hAnsi="Times New Roman" w:cs="Times New Roman"/>
          <w:sz w:val="24"/>
        </w:rPr>
        <w:t xml:space="preserve"> </w:t>
      </w:r>
    </w:p>
    <w:p w:rsidR="00FA7413" w:rsidRDefault="00D712A8">
      <w:pPr>
        <w:spacing w:after="109" w:line="248" w:lineRule="auto"/>
        <w:ind w:left="355" w:right="64" w:hanging="10"/>
        <w:jc w:val="both"/>
      </w:pPr>
      <w:r>
        <w:rPr>
          <w:rFonts w:ascii="Arial" w:eastAsia="Arial" w:hAnsi="Arial" w:cs="Arial"/>
          <w:b/>
        </w:rPr>
        <w:t>CUARTO. -</w:t>
      </w:r>
      <w:r>
        <w:rPr>
          <w:rFonts w:ascii="Arial" w:eastAsia="Arial" w:hAnsi="Arial" w:cs="Arial"/>
        </w:rPr>
        <w:t xml:space="preserve"> Dar traslado de la resolución adoptada a la Intervención, Tesorería</w:t>
      </w:r>
      <w:r>
        <w:rPr>
          <w:rFonts w:ascii="Arial" w:eastAsia="Arial" w:hAnsi="Arial" w:cs="Arial"/>
        </w:rPr>
        <w:t xml:space="preserve"> Municipal a los efectos oportunos y al Juzgado de lo Social nº 6, de Santa Cruz de Tenerife para su conocimiento.</w:t>
      </w:r>
      <w:r>
        <w:rPr>
          <w:rFonts w:ascii="Times New Roman" w:eastAsia="Times New Roman" w:hAnsi="Times New Roman" w:cs="Times New Roman"/>
          <w:sz w:val="24"/>
        </w:rPr>
        <w:t xml:space="preserve"> </w:t>
      </w:r>
    </w:p>
    <w:p w:rsidR="00FA7413" w:rsidRDefault="00D712A8">
      <w:pPr>
        <w:spacing w:after="0" w:line="248" w:lineRule="auto"/>
        <w:ind w:left="355" w:right="64" w:hanging="10"/>
        <w:jc w:val="both"/>
      </w:pPr>
      <w:r>
        <w:rPr>
          <w:rFonts w:ascii="Arial" w:eastAsia="Arial" w:hAnsi="Arial" w:cs="Arial"/>
        </w:rPr>
        <w:t>Es cuanto puedo informar, salvo error u omisión involuntaria, no obstante, el órgano competente resolverá como mejor proceda en derecho</w:t>
      </w:r>
      <w:r>
        <w:rPr>
          <w:rFonts w:ascii="Times New Roman" w:eastAsia="Times New Roman" w:hAnsi="Times New Roman" w:cs="Times New Roman"/>
          <w:sz w:val="24"/>
        </w:rPr>
        <w:t xml:space="preserve"> </w:t>
      </w:r>
    </w:p>
    <w:p w:rsidR="00FA7413" w:rsidRDefault="00D712A8">
      <w:pPr>
        <w:spacing w:after="95"/>
        <w:ind w:left="360"/>
      </w:pPr>
      <w:r>
        <w:rPr>
          <w:rFonts w:ascii="Arial" w:eastAsia="Arial" w:hAnsi="Arial" w:cs="Arial"/>
        </w:rPr>
        <w:t xml:space="preserve">  </w:t>
      </w:r>
    </w:p>
    <w:p w:rsidR="00FA7413" w:rsidRDefault="00D712A8">
      <w:pPr>
        <w:pStyle w:val="Ttulo2"/>
        <w:ind w:left="1013" w:right="718"/>
      </w:pPr>
      <w:r>
        <w:t xml:space="preserve">RESOLUCIÓN  </w:t>
      </w:r>
    </w:p>
    <w:p w:rsidR="00FA7413" w:rsidRDefault="00D712A8">
      <w:pPr>
        <w:spacing w:after="109" w:line="248" w:lineRule="auto"/>
        <w:ind w:left="355" w:right="64" w:hanging="10"/>
        <w:jc w:val="both"/>
      </w:pPr>
      <w:r>
        <w:rPr>
          <w:rFonts w:ascii="Arial" w:eastAsia="Arial" w:hAnsi="Arial" w:cs="Arial"/>
        </w:rPr>
        <w:t xml:space="preserve">Visto el informe transcrito precedentemente, esta Concejalía delegada, en uso de las atribuciones legalmente conferidas resuelve:  </w:t>
      </w:r>
    </w:p>
    <w:p w:rsidR="00FA7413" w:rsidRDefault="00D712A8">
      <w:pPr>
        <w:spacing w:after="98"/>
        <w:ind w:left="360"/>
      </w:pPr>
      <w:r>
        <w:rPr>
          <w:rFonts w:ascii="Arial" w:eastAsia="Arial" w:hAnsi="Arial" w:cs="Arial"/>
        </w:rPr>
        <w:t xml:space="preserve"> </w:t>
      </w:r>
    </w:p>
    <w:p w:rsidR="00FA7413" w:rsidRDefault="00D712A8">
      <w:pPr>
        <w:spacing w:after="109" w:line="248" w:lineRule="auto"/>
        <w:ind w:left="355" w:right="64" w:hanging="10"/>
        <w:jc w:val="both"/>
      </w:pPr>
      <w:r>
        <w:rPr>
          <w:rFonts w:ascii="Arial" w:eastAsia="Arial" w:hAnsi="Arial" w:cs="Arial"/>
        </w:rPr>
        <w:t xml:space="preserve"> </w:t>
      </w:r>
      <w:r>
        <w:rPr>
          <w:rFonts w:ascii="Arial" w:eastAsia="Arial" w:hAnsi="Arial" w:cs="Arial"/>
          <w:b/>
        </w:rPr>
        <w:t>PRIMERO. -</w:t>
      </w:r>
      <w:r>
        <w:rPr>
          <w:rFonts w:ascii="Arial" w:eastAsia="Arial" w:hAnsi="Arial" w:cs="Arial"/>
        </w:rPr>
        <w:t xml:space="preserve"> Dar cumplimiento a la Diligencia del Juzgado en relación con el expediente cuyos datos se transcr</w:t>
      </w:r>
      <w:r>
        <w:rPr>
          <w:rFonts w:ascii="Arial" w:eastAsia="Arial" w:hAnsi="Arial" w:cs="Arial"/>
        </w:rPr>
        <w:t xml:space="preserve">iben a continuación: </w:t>
      </w:r>
    </w:p>
    <w:p w:rsidR="00FA7413" w:rsidRDefault="00D712A8">
      <w:pPr>
        <w:spacing w:after="0"/>
        <w:ind w:right="1059"/>
        <w:jc w:val="right"/>
      </w:pPr>
      <w:r>
        <w:rPr>
          <w:noProof/>
        </w:rPr>
        <w:drawing>
          <wp:inline distT="0" distB="0" distL="0" distR="0">
            <wp:extent cx="5401057" cy="2247900"/>
            <wp:effectExtent l="0" t="0" r="0" b="0"/>
            <wp:docPr id="19630" name="Picture 19630"/>
            <wp:cNvGraphicFramePr/>
            <a:graphic xmlns:a="http://schemas.openxmlformats.org/drawingml/2006/main">
              <a:graphicData uri="http://schemas.openxmlformats.org/drawingml/2006/picture">
                <pic:pic xmlns:pic="http://schemas.openxmlformats.org/drawingml/2006/picture">
                  <pic:nvPicPr>
                    <pic:cNvPr id="19630" name="Picture 19630"/>
                    <pic:cNvPicPr/>
                  </pic:nvPicPr>
                  <pic:blipFill>
                    <a:blip r:embed="rId31"/>
                    <a:stretch>
                      <a:fillRect/>
                    </a:stretch>
                  </pic:blipFill>
                  <pic:spPr>
                    <a:xfrm>
                      <a:off x="0" y="0"/>
                      <a:ext cx="5401057" cy="2247900"/>
                    </a:xfrm>
                    <a:prstGeom prst="rect">
                      <a:avLst/>
                    </a:prstGeom>
                  </pic:spPr>
                </pic:pic>
              </a:graphicData>
            </a:graphic>
          </wp:inline>
        </w:drawing>
      </w:r>
      <w:r>
        <w:rPr>
          <w:rFonts w:ascii="Times New Roman" w:eastAsia="Times New Roman" w:hAnsi="Times New Roman" w:cs="Times New Roman"/>
          <w:sz w:val="24"/>
        </w:rPr>
        <w:t xml:space="preserve"> </w:t>
      </w:r>
    </w:p>
    <w:p w:rsidR="00FA7413" w:rsidRDefault="00D712A8">
      <w:pPr>
        <w:spacing w:after="0"/>
        <w:ind w:left="360"/>
      </w:pPr>
      <w:r>
        <w:rPr>
          <w:rFonts w:ascii="Arial" w:eastAsia="Arial" w:hAnsi="Arial" w:cs="Arial"/>
        </w:rPr>
        <w:t xml:space="preserve"> </w:t>
      </w:r>
    </w:p>
    <w:p w:rsidR="00FA7413" w:rsidRDefault="00D712A8">
      <w:pPr>
        <w:spacing w:after="109" w:line="248" w:lineRule="auto"/>
        <w:ind w:left="355" w:right="64" w:hanging="10"/>
        <w:jc w:val="both"/>
      </w:pPr>
      <w:r>
        <w:rPr>
          <w:rFonts w:ascii="Arial" w:eastAsia="Arial" w:hAnsi="Arial" w:cs="Arial"/>
          <w:b/>
        </w:rPr>
        <w:t xml:space="preserve">SEGUNDO. - </w:t>
      </w:r>
      <w:r>
        <w:rPr>
          <w:rFonts w:ascii="Arial" w:eastAsia="Arial" w:hAnsi="Arial" w:cs="Arial"/>
        </w:rPr>
        <w:t xml:space="preserve">Aprobar y ordenar el pago de la cantidad de </w:t>
      </w:r>
      <w:r>
        <w:rPr>
          <w:rFonts w:ascii="Arial" w:eastAsia="Arial" w:hAnsi="Arial" w:cs="Arial"/>
          <w:b/>
        </w:rPr>
        <w:t>3.332,03</w:t>
      </w:r>
      <w:r>
        <w:rPr>
          <w:rFonts w:ascii="Arial" w:eastAsia="Arial" w:hAnsi="Arial" w:cs="Arial"/>
        </w:rPr>
        <w:t xml:space="preserve"> euros en concepto de intereses y costas. </w:t>
      </w:r>
    </w:p>
    <w:p w:rsidR="00FA7413" w:rsidRDefault="00D712A8">
      <w:pPr>
        <w:spacing w:after="109" w:line="248" w:lineRule="auto"/>
        <w:ind w:left="355" w:right="64" w:hanging="10"/>
        <w:jc w:val="both"/>
      </w:pPr>
      <w:r>
        <w:rPr>
          <w:rFonts w:ascii="Arial" w:eastAsia="Arial" w:hAnsi="Arial" w:cs="Arial"/>
          <w:b/>
        </w:rPr>
        <w:t>TERCERO. -</w:t>
      </w:r>
      <w:r>
        <w:rPr>
          <w:rFonts w:ascii="Arial" w:eastAsia="Arial" w:hAnsi="Arial" w:cs="Arial"/>
        </w:rPr>
        <w:t xml:space="preserve"> Que se proceda a realizar el ingreso de las cantidades reclamadas mediante ingreso en la cuenta de depósitos y c</w:t>
      </w:r>
      <w:r>
        <w:rPr>
          <w:rFonts w:ascii="Arial" w:eastAsia="Arial" w:hAnsi="Arial" w:cs="Arial"/>
        </w:rPr>
        <w:t>onsignaciones del Juzgado de los Social nº 6 de Santa Cruz de Tenerife, en el BANCO SANTANDER c/c 3948/0000/64/0040/20; para el supuesto de ingreso por transferencia bancaria, deberá realizarse la misma al siguiente número de cuenta: IBAN ES55 0049 3569 92</w:t>
      </w:r>
      <w:r>
        <w:rPr>
          <w:rFonts w:ascii="Arial" w:eastAsia="Arial" w:hAnsi="Arial" w:cs="Arial"/>
        </w:rPr>
        <w:t>00 05001274.</w:t>
      </w:r>
      <w:r>
        <w:rPr>
          <w:rFonts w:ascii="Times New Roman" w:eastAsia="Times New Roman" w:hAnsi="Times New Roman" w:cs="Times New Roman"/>
          <w:sz w:val="24"/>
        </w:rPr>
        <w:t xml:space="preserve"> </w:t>
      </w:r>
    </w:p>
    <w:p w:rsidR="00FA7413" w:rsidRDefault="00D712A8">
      <w:pPr>
        <w:spacing w:after="109" w:line="248" w:lineRule="auto"/>
        <w:ind w:left="355" w:right="64" w:hanging="10"/>
        <w:jc w:val="both"/>
      </w:pPr>
      <w:r>
        <w:rPr>
          <w:rFonts w:ascii="Arial" w:eastAsia="Arial" w:hAnsi="Arial" w:cs="Arial"/>
          <w:b/>
        </w:rPr>
        <w:t>CUARTO. -</w:t>
      </w:r>
      <w:r>
        <w:rPr>
          <w:rFonts w:ascii="Arial" w:eastAsia="Arial" w:hAnsi="Arial" w:cs="Arial"/>
        </w:rPr>
        <w:t xml:space="preserve"> Dar traslado de la resolución adoptada a la Intervención, Tesorería Municipal a los efectos oportunos y al Juzgado de lo Social nº 6, de Santa Cruz de Tenerife para su conocimiento.  </w:t>
      </w:r>
    </w:p>
    <w:p w:rsidR="00FA7413" w:rsidRDefault="00D712A8">
      <w:pPr>
        <w:spacing w:after="109" w:line="248" w:lineRule="auto"/>
        <w:ind w:left="355" w:right="64" w:hanging="10"/>
        <w:jc w:val="both"/>
      </w:pPr>
      <w:r>
        <w:rPr>
          <w:noProof/>
        </w:rPr>
        <mc:AlternateContent>
          <mc:Choice Requires="wpg">
            <w:drawing>
              <wp:anchor distT="0" distB="0" distL="114300" distR="114300" simplePos="0" relativeHeight="251815936" behindDoc="0" locked="0" layoutInCell="1" allowOverlap="1">
                <wp:simplePos x="0" y="0"/>
                <wp:positionH relativeFrom="page">
                  <wp:posOffset>8664935</wp:posOffset>
                </wp:positionH>
                <wp:positionV relativeFrom="page">
                  <wp:posOffset>6811442</wp:posOffset>
                </wp:positionV>
                <wp:extent cx="161330" cy="3499942"/>
                <wp:effectExtent l="0" t="0" r="0" b="0"/>
                <wp:wrapTopAndBottom/>
                <wp:docPr id="222846" name="Group 222846"/>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9633" name="Rectangle 19633"/>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w:t>
                              </w: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9634" name="Rectangle 19634"/>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153 de 180 </w:t>
                              </w:r>
                            </w:p>
                          </w:txbxContent>
                        </wps:txbx>
                        <wps:bodyPr horzOverflow="overflow" vert="horz" lIns="0" tIns="0" rIns="0" bIns="0" rtlCol="0">
                          <a:noAutofit/>
                        </wps:bodyPr>
                      </wps:wsp>
                    </wpg:wgp>
                  </a:graphicData>
                </a:graphic>
              </wp:anchor>
            </w:drawing>
          </mc:Choice>
          <mc:Fallback xmlns:a="http://schemas.openxmlformats.org/drawingml/2006/main">
            <w:pict>
              <v:group id="Group 222846" style="width:12.7031pt;height:275.586pt;position:absolute;mso-position-horizontal-relative:page;mso-position-horizontal:absolute;margin-left:682.278pt;mso-position-vertical-relative:page;margin-top:536.334pt;" coordsize="1613,34999">
                <v:rect id="Rectangle 19633"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9634"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153 de 180 </w:t>
                        </w:r>
                      </w:p>
                    </w:txbxContent>
                  </v:textbox>
                </v:rect>
                <w10:wrap type="topAndBottom"/>
              </v:group>
            </w:pict>
          </mc:Fallback>
        </mc:AlternateContent>
      </w:r>
      <w:r>
        <w:rPr>
          <w:rFonts w:ascii="Arial" w:eastAsia="Arial" w:hAnsi="Arial" w:cs="Arial"/>
        </w:rPr>
        <w:t>Lo manda y firma el Concejal delegado de Hacienda, Recursos Humanos, Empresas Municipales y Concesionarias</w:t>
      </w:r>
      <w:r>
        <w:rPr>
          <w:rFonts w:ascii="Arial" w:eastAsia="Arial" w:hAnsi="Arial" w:cs="Arial"/>
        </w:rPr>
        <w:t xml:space="preserve"> (Decreto nº 2025/2019, de 24 de junio) de todo lo cual da fe pública el Secretario General, en virtud de lo dispuesto en el artículo 3.2 e) y h) del Real Decreto 128/2018, de 16 de marzo, por el que se regula el régimen jurídico de los funcionarios de Adm</w:t>
      </w:r>
      <w:r>
        <w:rPr>
          <w:rFonts w:ascii="Arial" w:eastAsia="Arial" w:hAnsi="Arial" w:cs="Arial"/>
        </w:rPr>
        <w:t xml:space="preserve">inistración Local con habilitación de carácter nacional. </w:t>
      </w:r>
    </w:p>
    <w:p w:rsidR="00FA7413" w:rsidRDefault="00D712A8">
      <w:pPr>
        <w:spacing w:after="0"/>
        <w:ind w:left="360"/>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line="248" w:lineRule="auto"/>
        <w:ind w:left="345" w:right="62" w:firstLine="708"/>
        <w:jc w:val="both"/>
      </w:pPr>
      <w:r>
        <w:rPr>
          <w:rFonts w:ascii="Arial" w:eastAsia="Arial" w:hAnsi="Arial" w:cs="Arial"/>
          <w:b/>
        </w:rPr>
        <w:t>El presente expediente cumpliendo con el auto judicial de 25 de mayo de 2021 fue introducido en el orden del día de la sesión ordinaria del Pleno del Ayuntamiento de Candelaria celebrada el día 24 de junio de 2021 en el que el Secretario dio explicación al</w:t>
      </w:r>
      <w:r>
        <w:rPr>
          <w:rFonts w:ascii="Arial" w:eastAsia="Arial" w:hAnsi="Arial" w:cs="Arial"/>
          <w:b/>
        </w:rPr>
        <w:t xml:space="preserve"> Pleno de los dos Decretos elaborados por el Servicio de Recursos Humanos durante el mes de junio de 2021 en los que, según el Servicio de Recursos Humanos, ya se ha dado cumplimiento a los cantidades pendientes de abono a la trabajadora por sentencia de 1</w:t>
      </w:r>
      <w:r>
        <w:rPr>
          <w:rFonts w:ascii="Arial" w:eastAsia="Arial" w:hAnsi="Arial" w:cs="Arial"/>
          <w:b/>
        </w:rPr>
        <w:t xml:space="preserve">7 de diciembre de 2019 mediante las transferencias correspondientes realizadas por la Tesorería municipal. </w:t>
      </w:r>
    </w:p>
    <w:p w:rsidR="00FA7413" w:rsidRDefault="00D712A8">
      <w:pPr>
        <w:spacing w:after="0"/>
        <w:ind w:left="1068"/>
      </w:pPr>
      <w:r>
        <w:rPr>
          <w:rFonts w:ascii="Arial" w:eastAsia="Arial" w:hAnsi="Arial" w:cs="Arial"/>
          <w:b/>
        </w:rPr>
        <w:t xml:space="preserve"> </w:t>
      </w:r>
    </w:p>
    <w:p w:rsidR="00FA7413" w:rsidRDefault="00D712A8">
      <w:pPr>
        <w:spacing w:after="0" w:line="248" w:lineRule="auto"/>
        <w:ind w:left="345" w:right="62" w:firstLine="708"/>
        <w:jc w:val="both"/>
      </w:pPr>
      <w:r>
        <w:rPr>
          <w:rFonts w:ascii="Arial" w:eastAsia="Arial" w:hAnsi="Arial" w:cs="Arial"/>
          <w:b/>
        </w:rPr>
        <w:t xml:space="preserve">El Secretario leyó literalmente en el pleno la parte dispositiva del Auto del Juzgado del Juzgado de lo Social nº 6 de Santa Cruz de Tenerife que </w:t>
      </w:r>
      <w:r>
        <w:rPr>
          <w:rFonts w:ascii="Arial" w:eastAsia="Arial" w:hAnsi="Arial" w:cs="Arial"/>
          <w:b/>
        </w:rPr>
        <w:t xml:space="preserve">se transcribe y efectuando por tanto el requerimiento personal al Alcalde: </w:t>
      </w:r>
    </w:p>
    <w:p w:rsidR="00FA7413" w:rsidRDefault="00D712A8">
      <w:pPr>
        <w:spacing w:after="0"/>
        <w:ind w:left="1068"/>
      </w:pPr>
      <w:r>
        <w:rPr>
          <w:rFonts w:ascii="Arial" w:eastAsia="Arial" w:hAnsi="Arial" w:cs="Arial"/>
          <w:b/>
        </w:rPr>
        <w:t xml:space="preserve"> </w:t>
      </w:r>
    </w:p>
    <w:p w:rsidR="00FA7413" w:rsidRDefault="00D712A8">
      <w:pPr>
        <w:spacing w:after="0" w:line="247" w:lineRule="auto"/>
        <w:ind w:left="345" w:right="62" w:firstLine="708"/>
        <w:jc w:val="both"/>
      </w:pPr>
      <w:r>
        <w:rPr>
          <w:rFonts w:ascii="Arial" w:eastAsia="Arial" w:hAnsi="Arial" w:cs="Arial"/>
          <w:i/>
        </w:rPr>
        <w:t>1.- Se ordene al Ayuntamiento de Candelaria para que disponga lo preciso para que en el plazo máximo de 30 días se proceda al total y eficaz cumplimiento y en sus justos términos</w:t>
      </w:r>
      <w:r>
        <w:rPr>
          <w:rFonts w:ascii="Arial" w:eastAsia="Arial" w:hAnsi="Arial" w:cs="Arial"/>
          <w:i/>
        </w:rPr>
        <w:t xml:space="preserve"> de la sentencia de fecha 17 de diciembre de 2019 dictada en el procedimiento 40/2020, procediendo, por tanto, al efectivo pago a Doña Fátima Perdomo Trujillo de la cantidad de 9.720, 63 euros líquidos, en concepto de salarios dejados de percibir desde el </w:t>
      </w:r>
      <w:r>
        <w:rPr>
          <w:rFonts w:ascii="Arial" w:eastAsia="Arial" w:hAnsi="Arial" w:cs="Arial"/>
          <w:i/>
        </w:rPr>
        <w:t xml:space="preserve">despido efectuado el 31 de diciembre de 2018 hasta la fecha de la reincorporación, sin perjuicio de los intereses que se devenguen y de las costas que en su caso procedan. </w:t>
      </w:r>
    </w:p>
    <w:p w:rsidR="00FA7413" w:rsidRDefault="00D712A8">
      <w:pPr>
        <w:spacing w:after="0"/>
        <w:ind w:left="1068"/>
      </w:pPr>
      <w:r>
        <w:rPr>
          <w:rFonts w:ascii="Arial" w:eastAsia="Arial" w:hAnsi="Arial" w:cs="Arial"/>
          <w:i/>
        </w:rPr>
        <w:t xml:space="preserve"> </w:t>
      </w:r>
    </w:p>
    <w:p w:rsidR="00FA7413" w:rsidRDefault="00D712A8">
      <w:pPr>
        <w:spacing w:after="0" w:line="247" w:lineRule="auto"/>
        <w:ind w:left="345" w:right="62" w:firstLine="708"/>
        <w:jc w:val="both"/>
      </w:pPr>
      <w:r>
        <w:rPr>
          <w:noProof/>
        </w:rPr>
        <mc:AlternateContent>
          <mc:Choice Requires="wpg">
            <w:drawing>
              <wp:anchor distT="0" distB="0" distL="114300" distR="114300" simplePos="0" relativeHeight="251816960"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23745" name="Group 223745"/>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9740" name="Rectangle 19740"/>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9741" name="Rectangle 19741"/>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154 de 180 </w:t>
                              </w:r>
                            </w:p>
                          </w:txbxContent>
                        </wps:txbx>
                        <wps:bodyPr horzOverflow="overflow" vert="horz" lIns="0" tIns="0" rIns="0" bIns="0" rtlCol="0">
                          <a:noAutofit/>
                        </wps:bodyPr>
                      </wps:wsp>
                    </wpg:wgp>
                  </a:graphicData>
                </a:graphic>
              </wp:anchor>
            </w:drawing>
          </mc:Choice>
          <mc:Fallback xmlns:a="http://schemas.openxmlformats.org/drawingml/2006/main">
            <w:pict>
              <v:group id="Group 223745" style="width:12.7031pt;height:275.586pt;position:absolute;mso-position-horizontal-relative:page;mso-position-horizontal:absolute;margin-left:682.278pt;mso-position-vertical-relative:page;margin-top:536.334pt;" coordsize="1613,34999">
                <v:rect id="Rectangle 19740"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9741"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154 de 180 </w:t>
                        </w:r>
                      </w:p>
                    </w:txbxContent>
                  </v:textbox>
                </v:rect>
                <w10:wrap type="square"/>
              </v:group>
            </w:pict>
          </mc:Fallback>
        </mc:AlternateContent>
      </w:r>
      <w:r>
        <w:rPr>
          <w:rFonts w:ascii="Arial" w:eastAsia="Arial" w:hAnsi="Arial" w:cs="Arial"/>
          <w:i/>
        </w:rPr>
        <w:t>2.- Requiérase al Secretario General del Ayuntamiento para qu</w:t>
      </w:r>
      <w:r>
        <w:rPr>
          <w:rFonts w:ascii="Arial" w:eastAsia="Arial" w:hAnsi="Arial" w:cs="Arial"/>
          <w:i/>
        </w:rPr>
        <w:t>e en el próximo pleno corporativo que se celebre se efectúe requerimiento personal al Alcalde-Presidente para el cumplimiento de lo aquí acordado, con apercibimiento de que caso no verificar en el plazo y forma cualquiera de los plazos acordados en este Au</w:t>
      </w:r>
      <w:r>
        <w:rPr>
          <w:rFonts w:ascii="Arial" w:eastAsia="Arial" w:hAnsi="Arial" w:cs="Arial"/>
          <w:i/>
        </w:rPr>
        <w:t xml:space="preserve">to se procederá a la imposición de multa de 150 euros/mensuales a la persona que, en estos momentos, ocupe la Alcaldía del citado Ayuntamiento y a deducir testimonio por la presunta comisión de un delito de desobediencia a la autoridad. </w:t>
      </w:r>
    </w:p>
    <w:p w:rsidR="00FA7413" w:rsidRDefault="00D712A8">
      <w:pPr>
        <w:spacing w:after="0"/>
        <w:ind w:left="1068"/>
      </w:pPr>
      <w:r>
        <w:rPr>
          <w:rFonts w:ascii="Arial" w:eastAsia="Arial" w:hAnsi="Arial" w:cs="Arial"/>
          <w:i/>
        </w:rPr>
        <w:t xml:space="preserve"> </w:t>
      </w:r>
    </w:p>
    <w:p w:rsidR="00FA7413" w:rsidRDefault="00D712A8">
      <w:pPr>
        <w:spacing w:after="0" w:line="247" w:lineRule="auto"/>
        <w:ind w:left="345" w:right="62" w:firstLine="708"/>
        <w:jc w:val="both"/>
      </w:pPr>
      <w:r>
        <w:rPr>
          <w:rFonts w:ascii="Arial" w:eastAsia="Arial" w:hAnsi="Arial" w:cs="Arial"/>
          <w:i/>
        </w:rPr>
        <w:t>3.- Para la prác</w:t>
      </w:r>
      <w:r>
        <w:rPr>
          <w:rFonts w:ascii="Arial" w:eastAsia="Arial" w:hAnsi="Arial" w:cs="Arial"/>
          <w:i/>
        </w:rPr>
        <w:t xml:space="preserve">tica del anterior requerimiento líbrese oficio al que se adjuntará testimonio de la sentencia y del presente Auto que se remitirá al Sr. Secretario del Ayuntamiento, el cual deberá dar respuesta del cumplimiento de esta obligación mediante la remisión del </w:t>
      </w:r>
      <w:r>
        <w:rPr>
          <w:rFonts w:ascii="Arial" w:eastAsia="Arial" w:hAnsi="Arial" w:cs="Arial"/>
          <w:i/>
        </w:rPr>
        <w:t>Acta del Ayuntamiento donde se recoja el requerimiento realizado por el Sr. Secretario al Alcalde y al consistorio municipal en el primer Pleno que se celebre al efecto, con apercibimiento de que no hacerlo, el Sr. Secretario podría incurrir en un delito d</w:t>
      </w:r>
      <w:r>
        <w:rPr>
          <w:rFonts w:ascii="Arial" w:eastAsia="Arial" w:hAnsi="Arial" w:cs="Arial"/>
          <w:i/>
        </w:rPr>
        <w:t xml:space="preserve">e desobediencia a la Autoridad parándole el perjuicio correspondiente en Derecho. </w:t>
      </w:r>
    </w:p>
    <w:p w:rsidR="00FA7413" w:rsidRDefault="00D712A8">
      <w:pPr>
        <w:spacing w:after="0" w:line="247" w:lineRule="auto"/>
        <w:ind w:left="345" w:right="62" w:firstLine="708"/>
        <w:jc w:val="both"/>
      </w:pPr>
      <w:r>
        <w:rPr>
          <w:rFonts w:ascii="Arial" w:eastAsia="Arial" w:hAnsi="Arial" w:cs="Arial"/>
          <w:i/>
        </w:rPr>
        <w:t>4.- Efectuado dicho requerimiento deberá remitir a este Juzgado, en el plazo de CINCO DÍAS, el acta de la sesión con identificación del nombre y apellidos, documento naciona</w:t>
      </w:r>
      <w:r>
        <w:rPr>
          <w:rFonts w:ascii="Arial" w:eastAsia="Arial" w:hAnsi="Arial" w:cs="Arial"/>
          <w:i/>
        </w:rPr>
        <w:t>l de identidad, domicilio y si percibe retribuciones del Ayuntamiento de la persona que actualmente ocupa la Alcaldía, a efectos, en su caso, de la imposición de multa coercitivas y remisión de testimonio de particulares para ser remitido al Juzgado Decano</w:t>
      </w:r>
      <w:r>
        <w:rPr>
          <w:rFonts w:ascii="Arial" w:eastAsia="Arial" w:hAnsi="Arial" w:cs="Arial"/>
          <w:i/>
        </w:rPr>
        <w:t xml:space="preserve"> del correspondiente partido judicial para su posterior reparto, por si los hechos fueran constitutivos de un delito de desobediencia a la autoridad.” </w:t>
      </w:r>
    </w:p>
    <w:p w:rsidR="00FA7413" w:rsidRDefault="00D712A8">
      <w:pPr>
        <w:spacing w:after="0"/>
        <w:ind w:left="1068"/>
      </w:pPr>
      <w:r>
        <w:rPr>
          <w:rFonts w:ascii="Arial" w:eastAsia="Arial" w:hAnsi="Arial" w:cs="Arial"/>
          <w:i/>
        </w:rPr>
        <w:t xml:space="preserve"> </w:t>
      </w:r>
    </w:p>
    <w:p w:rsidR="00FA7413" w:rsidRDefault="00D712A8">
      <w:pPr>
        <w:spacing w:after="0"/>
        <w:ind w:left="1068"/>
      </w:pPr>
      <w:r>
        <w:rPr>
          <w:rFonts w:ascii="Arial" w:eastAsia="Arial" w:hAnsi="Arial" w:cs="Arial"/>
          <w:i/>
        </w:rPr>
        <w:t xml:space="preserve"> </w:t>
      </w:r>
    </w:p>
    <w:p w:rsidR="00FA7413" w:rsidRDefault="00D712A8">
      <w:pPr>
        <w:spacing w:after="0"/>
        <w:ind w:left="1068"/>
      </w:pPr>
      <w:r>
        <w:rPr>
          <w:rFonts w:ascii="Arial" w:eastAsia="Arial" w:hAnsi="Arial" w:cs="Arial"/>
          <w:i/>
        </w:rPr>
        <w:t xml:space="preserve"> </w:t>
      </w:r>
    </w:p>
    <w:p w:rsidR="00FA7413" w:rsidRDefault="00D712A8">
      <w:pPr>
        <w:spacing w:after="0"/>
        <w:ind w:left="1068"/>
      </w:pPr>
      <w:r>
        <w:rPr>
          <w:rFonts w:ascii="Arial" w:eastAsia="Arial" w:hAnsi="Arial" w:cs="Arial"/>
          <w:i/>
        </w:rPr>
        <w:t xml:space="preserve"> </w:t>
      </w:r>
    </w:p>
    <w:p w:rsidR="00FA7413" w:rsidRDefault="00D712A8">
      <w:pPr>
        <w:spacing w:after="0"/>
        <w:ind w:left="1068"/>
      </w:pPr>
      <w:r>
        <w:rPr>
          <w:rFonts w:ascii="Arial" w:eastAsia="Arial" w:hAnsi="Arial" w:cs="Arial"/>
          <w:i/>
        </w:rPr>
        <w:t xml:space="preserve"> </w:t>
      </w:r>
    </w:p>
    <w:p w:rsidR="00FA7413" w:rsidRDefault="00D712A8">
      <w:pPr>
        <w:spacing w:after="0" w:line="248" w:lineRule="auto"/>
        <w:ind w:left="345" w:right="62" w:firstLine="708"/>
        <w:jc w:val="both"/>
      </w:pPr>
      <w:r>
        <w:rPr>
          <w:rFonts w:ascii="Arial" w:eastAsia="Arial" w:hAnsi="Arial" w:cs="Arial"/>
          <w:b/>
        </w:rPr>
        <w:t>A efectos de cumplir el presente requerimiento se remite al Juzgado de lo Social número 6 de S</w:t>
      </w:r>
      <w:r>
        <w:rPr>
          <w:rFonts w:ascii="Arial" w:eastAsia="Arial" w:hAnsi="Arial" w:cs="Arial"/>
          <w:b/>
        </w:rPr>
        <w:t xml:space="preserve">anta Cruz de Tenerife los siguientes datos: </w:t>
      </w:r>
    </w:p>
    <w:p w:rsidR="00FA7413" w:rsidRDefault="00D712A8">
      <w:pPr>
        <w:spacing w:after="0"/>
        <w:ind w:left="1068"/>
      </w:pPr>
      <w:r>
        <w:rPr>
          <w:rFonts w:ascii="Arial" w:eastAsia="Arial" w:hAnsi="Arial" w:cs="Arial"/>
        </w:rPr>
        <w:t xml:space="preserve"> </w:t>
      </w:r>
    </w:p>
    <w:p w:rsidR="00FA7413" w:rsidRDefault="00D712A8">
      <w:pPr>
        <w:spacing w:after="0" w:line="248" w:lineRule="auto"/>
        <w:ind w:left="345" w:right="62" w:firstLine="708"/>
        <w:jc w:val="both"/>
      </w:pPr>
      <w:r>
        <w:rPr>
          <w:rFonts w:ascii="Arial" w:eastAsia="Arial" w:hAnsi="Arial" w:cs="Arial"/>
          <w:b/>
        </w:rPr>
        <w:t xml:space="preserve">1.- Decreto del Concejal delegado de Personal, Don Airam Pérez Chinea,  nº 1544/2021, de fecha 2 de junio de 2021, transcrito literalmente en el presente Decreto. </w:t>
      </w:r>
    </w:p>
    <w:p w:rsidR="00FA7413" w:rsidRDefault="00D712A8">
      <w:pPr>
        <w:spacing w:after="0"/>
        <w:ind w:left="1068"/>
      </w:pPr>
      <w:r>
        <w:rPr>
          <w:rFonts w:ascii="Arial" w:eastAsia="Arial" w:hAnsi="Arial" w:cs="Arial"/>
          <w:b/>
        </w:rPr>
        <w:t xml:space="preserve"> </w:t>
      </w:r>
    </w:p>
    <w:p w:rsidR="00FA7413" w:rsidRDefault="00D712A8">
      <w:pPr>
        <w:spacing w:after="0" w:line="248" w:lineRule="auto"/>
        <w:ind w:left="345" w:right="62" w:firstLine="708"/>
        <w:jc w:val="both"/>
      </w:pPr>
      <w:r>
        <w:rPr>
          <w:rFonts w:ascii="Arial" w:eastAsia="Arial" w:hAnsi="Arial" w:cs="Arial"/>
          <w:b/>
        </w:rPr>
        <w:t>2.- Decreto del Concejal delegado de Person</w:t>
      </w:r>
      <w:r>
        <w:rPr>
          <w:rFonts w:ascii="Arial" w:eastAsia="Arial" w:hAnsi="Arial" w:cs="Arial"/>
          <w:b/>
        </w:rPr>
        <w:t xml:space="preserve">al, Don Airam Pérez Chinea, nº 1760/2021, de fecha 23 de junio de 2021, transcrito literalmente en el presente Decreto. </w:t>
      </w:r>
    </w:p>
    <w:p w:rsidR="00FA7413" w:rsidRDefault="00D712A8">
      <w:pPr>
        <w:spacing w:after="0"/>
        <w:ind w:left="1068"/>
      </w:pPr>
      <w:r>
        <w:rPr>
          <w:rFonts w:ascii="Arial" w:eastAsia="Arial" w:hAnsi="Arial" w:cs="Arial"/>
          <w:b/>
        </w:rPr>
        <w:t xml:space="preserve"> </w:t>
      </w:r>
    </w:p>
    <w:p w:rsidR="00FA7413" w:rsidRDefault="00D712A8">
      <w:pPr>
        <w:spacing w:after="11" w:line="248" w:lineRule="auto"/>
        <w:ind w:left="1078" w:right="62" w:hanging="10"/>
        <w:jc w:val="both"/>
      </w:pPr>
      <w:r>
        <w:rPr>
          <w:rFonts w:ascii="Arial" w:eastAsia="Arial" w:hAnsi="Arial" w:cs="Arial"/>
          <w:b/>
        </w:rPr>
        <w:t xml:space="preserve">  3.- Persona que ocupa la Alcaldía-Presidencia: </w:t>
      </w:r>
    </w:p>
    <w:p w:rsidR="00FA7413" w:rsidRDefault="00D712A8">
      <w:pPr>
        <w:spacing w:after="0"/>
        <w:ind w:left="1068"/>
      </w:pPr>
      <w:r>
        <w:rPr>
          <w:rFonts w:ascii="Arial" w:eastAsia="Arial" w:hAnsi="Arial" w:cs="Arial"/>
          <w:b/>
        </w:rPr>
        <w:t xml:space="preserve"> </w:t>
      </w:r>
    </w:p>
    <w:p w:rsidR="00FA7413" w:rsidRDefault="00D712A8">
      <w:pPr>
        <w:spacing w:after="11" w:line="248" w:lineRule="auto"/>
        <w:ind w:left="1078" w:right="62" w:hanging="10"/>
        <w:jc w:val="both"/>
      </w:pPr>
      <w:r>
        <w:rPr>
          <w:rFonts w:ascii="Arial" w:eastAsia="Arial" w:hAnsi="Arial" w:cs="Arial"/>
          <w:b/>
        </w:rPr>
        <w:t xml:space="preserve">Alcaldesa-Presidenta: Doña María Concepción Brito Núñez. </w:t>
      </w:r>
    </w:p>
    <w:p w:rsidR="00FA7413" w:rsidRDefault="00D712A8">
      <w:pPr>
        <w:spacing w:after="0"/>
        <w:ind w:left="1068"/>
      </w:pPr>
      <w:r>
        <w:rPr>
          <w:rFonts w:ascii="Arial" w:eastAsia="Arial" w:hAnsi="Arial" w:cs="Arial"/>
          <w:b/>
        </w:rPr>
        <w:t xml:space="preserve"> </w:t>
      </w:r>
    </w:p>
    <w:p w:rsidR="00FA7413" w:rsidRDefault="00D712A8">
      <w:pPr>
        <w:spacing w:after="0" w:line="248" w:lineRule="auto"/>
        <w:ind w:left="345" w:right="62" w:firstLine="708"/>
        <w:jc w:val="both"/>
      </w:pPr>
      <w:r>
        <w:rPr>
          <w:rFonts w:ascii="Arial" w:eastAsia="Arial" w:hAnsi="Arial" w:cs="Arial"/>
          <w:b/>
        </w:rPr>
        <w:t xml:space="preserve">Datos que constan en la Declaración de bienes y actividades al comienzo del mandato 2019-2023: DNI: ***1734**. Domicilio: Camino Los Revolcaderos, nº 36. Igueste. Candelaria.  </w:t>
      </w:r>
    </w:p>
    <w:p w:rsidR="00FA7413" w:rsidRDefault="00D712A8">
      <w:pPr>
        <w:spacing w:after="0"/>
        <w:ind w:left="1068"/>
      </w:pPr>
      <w:r>
        <w:rPr>
          <w:rFonts w:ascii="Arial" w:eastAsia="Arial" w:hAnsi="Arial" w:cs="Arial"/>
          <w:b/>
        </w:rPr>
        <w:t xml:space="preserve"> </w:t>
      </w:r>
    </w:p>
    <w:p w:rsidR="00FA7413" w:rsidRDefault="00D712A8">
      <w:pPr>
        <w:spacing w:after="11" w:line="248" w:lineRule="auto"/>
        <w:ind w:left="1078" w:right="62" w:hanging="10"/>
        <w:jc w:val="both"/>
      </w:pPr>
      <w:r>
        <w:rPr>
          <w:rFonts w:ascii="Arial" w:eastAsia="Arial" w:hAnsi="Arial" w:cs="Arial"/>
          <w:b/>
        </w:rPr>
        <w:t>Retribución anual según el pleno de 28 de junio de 2019 que aprobó las retrib</w:t>
      </w:r>
      <w:r>
        <w:rPr>
          <w:rFonts w:ascii="Arial" w:eastAsia="Arial" w:hAnsi="Arial" w:cs="Arial"/>
          <w:b/>
        </w:rPr>
        <w:t xml:space="preserve">uciones: </w:t>
      </w:r>
    </w:p>
    <w:p w:rsidR="00FA7413" w:rsidRDefault="00D712A8">
      <w:pPr>
        <w:spacing w:after="11" w:line="248" w:lineRule="auto"/>
        <w:ind w:left="355" w:right="62" w:hanging="10"/>
        <w:jc w:val="both"/>
      </w:pPr>
      <w:r>
        <w:rPr>
          <w:rFonts w:ascii="Arial" w:eastAsia="Arial" w:hAnsi="Arial" w:cs="Arial"/>
          <w:b/>
        </w:rPr>
        <w:t xml:space="preserve">53.000 euros.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noProof/>
        </w:rPr>
        <mc:AlternateContent>
          <mc:Choice Requires="wpg">
            <w:drawing>
              <wp:anchor distT="0" distB="0" distL="114300" distR="114300" simplePos="0" relativeHeight="251817984" behindDoc="0" locked="0" layoutInCell="1" allowOverlap="1">
                <wp:simplePos x="0" y="0"/>
                <wp:positionH relativeFrom="page">
                  <wp:posOffset>8664935</wp:posOffset>
                </wp:positionH>
                <wp:positionV relativeFrom="page">
                  <wp:posOffset>6811442</wp:posOffset>
                </wp:positionV>
                <wp:extent cx="161330" cy="3499942"/>
                <wp:effectExtent l="0" t="0" r="0" b="0"/>
                <wp:wrapTopAndBottom/>
                <wp:docPr id="223246" name="Group 223246"/>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9836" name="Rectangle 19836"/>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9837" name="Rectangle 19837"/>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155 de 180 </w:t>
                              </w:r>
                            </w:p>
                          </w:txbxContent>
                        </wps:txbx>
                        <wps:bodyPr horzOverflow="overflow" vert="horz" lIns="0" tIns="0" rIns="0" bIns="0" rtlCol="0">
                          <a:noAutofit/>
                        </wps:bodyPr>
                      </wps:wsp>
                    </wpg:wgp>
                  </a:graphicData>
                </a:graphic>
              </wp:anchor>
            </w:drawing>
          </mc:Choice>
          <mc:Fallback xmlns:a="http://schemas.openxmlformats.org/drawingml/2006/main">
            <w:pict>
              <v:group id="Group 223246" style="width:12.7031pt;height:275.586pt;position:absolute;mso-position-horizontal-relative:page;mso-position-horizontal:absolute;margin-left:682.278pt;mso-position-vertical-relative:page;margin-top:536.334pt;" coordsize="1613,34999">
                <v:rect id="Rectangle 19836"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9837"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155 de 180 </w:t>
                        </w:r>
                      </w:p>
                    </w:txbxContent>
                  </v:textbox>
                </v:rect>
                <w10:wrap type="topAndBottom"/>
              </v:group>
            </w:pict>
          </mc:Fallback>
        </mc:AlternateContent>
      </w: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line="249" w:lineRule="auto"/>
        <w:ind w:left="355" w:right="66" w:hanging="10"/>
        <w:jc w:val="both"/>
      </w:pPr>
      <w:r>
        <w:rPr>
          <w:rFonts w:ascii="Arial" w:eastAsia="Arial" w:hAnsi="Arial" w:cs="Arial"/>
          <w:b/>
          <w:sz w:val="24"/>
        </w:rPr>
        <w:t>18.- Expediente 1341/2019. Dación de cuenta del Decreto 1510/2021, de fecha 31 de mayo de 2021 por el que se da cumplimiento al abono de las cantidades debidas a un trabajador en sentencia firme de 24 de julio de 2020 y se cumple</w:t>
      </w:r>
      <w:r>
        <w:rPr>
          <w:rFonts w:ascii="Arial" w:eastAsia="Arial" w:hAnsi="Arial" w:cs="Arial"/>
          <w:b/>
          <w:sz w:val="24"/>
        </w:rPr>
        <w:t xml:space="preserve"> con el auto de 25 de mayo de 2021 del Juzgado de lo Social nº 6 (PO 625/2018).</w:t>
      </w:r>
      <w:r>
        <w:rPr>
          <w:rFonts w:ascii="Times New Roman" w:eastAsia="Times New Roman" w:hAnsi="Times New Roman" w:cs="Times New Roman"/>
          <w:sz w:val="24"/>
        </w:rPr>
        <w:t xml:space="preserve"> </w:t>
      </w:r>
    </w:p>
    <w:p w:rsidR="00FA7413" w:rsidRDefault="00D712A8">
      <w:pPr>
        <w:spacing w:after="100"/>
        <w:ind w:left="360"/>
      </w:pPr>
      <w:r>
        <w:rPr>
          <w:rFonts w:ascii="Arial" w:eastAsia="Arial" w:hAnsi="Arial" w:cs="Arial"/>
          <w:b/>
        </w:rPr>
        <w:t xml:space="preserve"> </w:t>
      </w:r>
    </w:p>
    <w:p w:rsidR="00FA7413" w:rsidRDefault="00D712A8">
      <w:pPr>
        <w:spacing w:after="112" w:line="248" w:lineRule="auto"/>
        <w:ind w:left="355" w:right="62" w:hanging="10"/>
        <w:jc w:val="both"/>
      </w:pPr>
      <w:r>
        <w:rPr>
          <w:rFonts w:ascii="Arial" w:eastAsia="Arial" w:hAnsi="Arial" w:cs="Arial"/>
          <w:b/>
        </w:rPr>
        <w:t xml:space="preserve">1.- Consta en el expediente el Decreto 1510/2021, de 31 de mayo de 2021 que transcrito literalmente dice: </w:t>
      </w:r>
    </w:p>
    <w:p w:rsidR="00FA7413" w:rsidRDefault="00D712A8">
      <w:pPr>
        <w:spacing w:after="100"/>
        <w:ind w:left="360"/>
      </w:pPr>
      <w:r>
        <w:rPr>
          <w:rFonts w:ascii="Arial" w:eastAsia="Arial" w:hAnsi="Arial" w:cs="Arial"/>
          <w:b/>
        </w:rPr>
        <w:t xml:space="preserve"> </w:t>
      </w:r>
    </w:p>
    <w:p w:rsidR="00FA7413" w:rsidRDefault="00D712A8">
      <w:pPr>
        <w:spacing w:after="135"/>
        <w:ind w:left="360"/>
      </w:pPr>
      <w:r>
        <w:rPr>
          <w:rFonts w:ascii="Arial" w:eastAsia="Arial" w:hAnsi="Arial" w:cs="Arial"/>
          <w:b/>
        </w:rPr>
        <w:t xml:space="preserve"> </w:t>
      </w:r>
    </w:p>
    <w:p w:rsidR="00FA7413" w:rsidRDefault="00D712A8">
      <w:pPr>
        <w:pStyle w:val="Ttulo2"/>
        <w:ind w:left="1013" w:right="720"/>
      </w:pPr>
      <w:r>
        <w:t>“DECRETO</w:t>
      </w:r>
      <w:r>
        <w:rPr>
          <w:b w:val="0"/>
        </w:rPr>
        <w:t xml:space="preserve"> </w:t>
      </w:r>
    </w:p>
    <w:p w:rsidR="00FA7413" w:rsidRDefault="00D712A8">
      <w:pPr>
        <w:spacing w:after="112" w:line="248" w:lineRule="auto"/>
        <w:ind w:left="355" w:right="62" w:hanging="10"/>
        <w:jc w:val="both"/>
      </w:pPr>
      <w:r>
        <w:rPr>
          <w:rFonts w:ascii="Arial" w:eastAsia="Arial" w:hAnsi="Arial" w:cs="Arial"/>
          <w:b/>
        </w:rPr>
        <w:t>Visto el informe jurídico con propuesta de resolución firmado por Doña Helena Larrinaga Doval, Técnica de Administración General, debidamente conformado por el funcionario con habilitación nacional, D. Nicolás Rojo Garnica, que transcrito literalmente dice</w:t>
      </w:r>
      <w:r>
        <w:rPr>
          <w:rFonts w:ascii="Arial" w:eastAsia="Arial" w:hAnsi="Arial" w:cs="Arial"/>
          <w:b/>
        </w:rPr>
        <w:t>:</w:t>
      </w:r>
      <w:r>
        <w:rPr>
          <w:rFonts w:ascii="Arial" w:eastAsia="Arial" w:hAnsi="Arial" w:cs="Arial"/>
        </w:rPr>
        <w:t xml:space="preserve">  </w:t>
      </w:r>
    </w:p>
    <w:p w:rsidR="00FA7413" w:rsidRDefault="00D712A8">
      <w:pPr>
        <w:spacing w:after="98"/>
        <w:ind w:left="360"/>
      </w:pPr>
      <w:r>
        <w:rPr>
          <w:rFonts w:ascii="Arial" w:eastAsia="Arial" w:hAnsi="Arial" w:cs="Arial"/>
        </w:rPr>
        <w:t xml:space="preserve"> </w:t>
      </w:r>
    </w:p>
    <w:p w:rsidR="00FA7413" w:rsidRDefault="00D712A8">
      <w:pPr>
        <w:spacing w:after="98"/>
        <w:ind w:left="360"/>
      </w:pPr>
      <w:r>
        <w:rPr>
          <w:noProof/>
        </w:rPr>
        <mc:AlternateContent>
          <mc:Choice Requires="wpg">
            <w:drawing>
              <wp:anchor distT="0" distB="0" distL="114300" distR="114300" simplePos="0" relativeHeight="251819008"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23057" name="Group 223057"/>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19963" name="Rectangle 19963"/>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19964" name="Rectangle 19964"/>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156 de 180 </w:t>
                              </w:r>
                            </w:p>
                          </w:txbxContent>
                        </wps:txbx>
                        <wps:bodyPr horzOverflow="overflow" vert="horz" lIns="0" tIns="0" rIns="0" bIns="0" rtlCol="0">
                          <a:noAutofit/>
                        </wps:bodyPr>
                      </wps:wsp>
                    </wpg:wgp>
                  </a:graphicData>
                </a:graphic>
              </wp:anchor>
            </w:drawing>
          </mc:Choice>
          <mc:Fallback xmlns:a="http://schemas.openxmlformats.org/drawingml/2006/main">
            <w:pict>
              <v:group id="Group 223057" style="width:12.7031pt;height:275.586pt;position:absolute;mso-position-horizontal-relative:page;mso-position-horizontal:absolute;margin-left:682.278pt;mso-position-vertical-relative:page;margin-top:536.334pt;" coordsize="1613,34999">
                <v:rect id="Rectangle 19963"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19964"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156 de 180 </w:t>
                        </w:r>
                      </w:p>
                    </w:txbxContent>
                  </v:textbox>
                </v:rect>
                <w10:wrap type="square"/>
              </v:group>
            </w:pict>
          </mc:Fallback>
        </mc:AlternateContent>
      </w:r>
      <w:r>
        <w:rPr>
          <w:rFonts w:ascii="Arial" w:eastAsia="Arial" w:hAnsi="Arial" w:cs="Arial"/>
        </w:rPr>
        <w:t xml:space="preserve">                                                </w:t>
      </w:r>
    </w:p>
    <w:p w:rsidR="00FA7413" w:rsidRDefault="00D712A8">
      <w:pPr>
        <w:pStyle w:val="Ttulo2"/>
        <w:ind w:left="1013" w:right="721"/>
      </w:pPr>
      <w:r>
        <w:t>ANT</w:t>
      </w:r>
      <w:r>
        <w:t>ECEDENTES DE HECHO</w:t>
      </w:r>
      <w:r>
        <w:rPr>
          <w:b w:val="0"/>
        </w:rPr>
        <w:t xml:space="preserve"> </w:t>
      </w:r>
    </w:p>
    <w:p w:rsidR="00FA7413" w:rsidRDefault="00D712A8">
      <w:pPr>
        <w:spacing w:after="10" w:line="249" w:lineRule="auto"/>
        <w:ind w:left="355" w:hanging="10"/>
      </w:pPr>
      <w:r>
        <w:rPr>
          <w:rFonts w:ascii="Times New Roman" w:eastAsia="Times New Roman" w:hAnsi="Times New Roman" w:cs="Times New Roman"/>
          <w:sz w:val="24"/>
        </w:rPr>
        <w:t xml:space="preserve">Primero. - Vista la sentencia del Juzgado de lo Social nº 6 de Santa Cruz de Tenerife, cuyos datos se indican a continuación: </w: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spacing w:after="0"/>
        <w:ind w:right="1081"/>
        <w:jc w:val="right"/>
      </w:pPr>
      <w:r>
        <w:rPr>
          <w:noProof/>
        </w:rPr>
        <w:drawing>
          <wp:inline distT="0" distB="0" distL="0" distR="0">
            <wp:extent cx="5394960" cy="1737360"/>
            <wp:effectExtent l="0" t="0" r="0" b="0"/>
            <wp:docPr id="19960" name="Picture 19960"/>
            <wp:cNvGraphicFramePr/>
            <a:graphic xmlns:a="http://schemas.openxmlformats.org/drawingml/2006/main">
              <a:graphicData uri="http://schemas.openxmlformats.org/drawingml/2006/picture">
                <pic:pic xmlns:pic="http://schemas.openxmlformats.org/drawingml/2006/picture">
                  <pic:nvPicPr>
                    <pic:cNvPr id="19960" name="Picture 19960"/>
                    <pic:cNvPicPr/>
                  </pic:nvPicPr>
                  <pic:blipFill>
                    <a:blip r:embed="rId32"/>
                    <a:stretch>
                      <a:fillRect/>
                    </a:stretch>
                  </pic:blipFill>
                  <pic:spPr>
                    <a:xfrm>
                      <a:off x="0" y="0"/>
                      <a:ext cx="5394960" cy="1737360"/>
                    </a:xfrm>
                    <a:prstGeom prst="rect">
                      <a:avLst/>
                    </a:prstGeom>
                  </pic:spPr>
                </pic:pic>
              </a:graphicData>
            </a:graphic>
          </wp:inline>
        </w:drawing>
      </w:r>
      <w:r>
        <w:rPr>
          <w:rFonts w:ascii="Times New Roman" w:eastAsia="Times New Roman" w:hAnsi="Times New Roman" w:cs="Times New Roman"/>
          <w:sz w:val="24"/>
        </w:rPr>
        <w:t xml:space="preserve"> </w: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spacing w:after="10" w:line="249" w:lineRule="auto"/>
        <w:ind w:left="355" w:hanging="10"/>
      </w:pPr>
      <w:r>
        <w:rPr>
          <w:rFonts w:ascii="Times New Roman" w:eastAsia="Times New Roman" w:hAnsi="Times New Roman" w:cs="Times New Roman"/>
          <w:sz w:val="24"/>
        </w:rPr>
        <w:t xml:space="preserve">Con el siguiente fallo: </w: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spacing w:after="16"/>
        <w:ind w:left="360"/>
      </w:pPr>
      <w:r>
        <w:rPr>
          <w:noProof/>
        </w:rPr>
        <mc:AlternateContent>
          <mc:Choice Requires="wpg">
            <w:drawing>
              <wp:inline distT="0" distB="0" distL="0" distR="0">
                <wp:extent cx="5401057" cy="3325368"/>
                <wp:effectExtent l="0" t="0" r="0" b="0"/>
                <wp:docPr id="224287" name="Group 224287"/>
                <wp:cNvGraphicFramePr/>
                <a:graphic xmlns:a="http://schemas.openxmlformats.org/drawingml/2006/main">
                  <a:graphicData uri="http://schemas.microsoft.com/office/word/2010/wordprocessingGroup">
                    <wpg:wgp>
                      <wpg:cNvGrpSpPr/>
                      <wpg:grpSpPr>
                        <a:xfrm>
                          <a:off x="0" y="0"/>
                          <a:ext cx="5401057" cy="3325368"/>
                          <a:chOff x="0" y="0"/>
                          <a:chExt cx="5401057" cy="3325368"/>
                        </a:xfrm>
                      </wpg:grpSpPr>
                      <pic:pic xmlns:pic="http://schemas.openxmlformats.org/drawingml/2006/picture">
                        <pic:nvPicPr>
                          <pic:cNvPr id="20002" name="Picture 20002"/>
                          <pic:cNvPicPr/>
                        </pic:nvPicPr>
                        <pic:blipFill>
                          <a:blip r:embed="rId33"/>
                          <a:stretch>
                            <a:fillRect/>
                          </a:stretch>
                        </pic:blipFill>
                        <pic:spPr>
                          <a:xfrm>
                            <a:off x="0" y="0"/>
                            <a:ext cx="5401057" cy="1996440"/>
                          </a:xfrm>
                          <a:prstGeom prst="rect">
                            <a:avLst/>
                          </a:prstGeom>
                        </pic:spPr>
                      </pic:pic>
                      <pic:pic xmlns:pic="http://schemas.openxmlformats.org/drawingml/2006/picture">
                        <pic:nvPicPr>
                          <pic:cNvPr id="20004" name="Picture 20004"/>
                          <pic:cNvPicPr/>
                        </pic:nvPicPr>
                        <pic:blipFill>
                          <a:blip r:embed="rId34"/>
                          <a:stretch>
                            <a:fillRect/>
                          </a:stretch>
                        </pic:blipFill>
                        <pic:spPr>
                          <a:xfrm>
                            <a:off x="0" y="1999488"/>
                            <a:ext cx="5394960" cy="1325880"/>
                          </a:xfrm>
                          <a:prstGeom prst="rect">
                            <a:avLst/>
                          </a:prstGeom>
                        </pic:spPr>
                      </pic:pic>
                    </wpg:wgp>
                  </a:graphicData>
                </a:graphic>
              </wp:inline>
            </w:drawing>
          </mc:Choice>
          <mc:Fallback xmlns:a="http://schemas.openxmlformats.org/drawingml/2006/main">
            <w:pict>
              <v:group id="Group 224287" style="width:425.28pt;height:261.84pt;mso-position-horizontal-relative:char;mso-position-vertical-relative:line" coordsize="54010,33253">
                <v:shape id="Picture 20002" style="position:absolute;width:54010;height:19964;left:0;top:0;" filled="f">
                  <v:imagedata r:id="rId35"/>
                </v:shape>
                <v:shape id="Picture 20004" style="position:absolute;width:53949;height:13258;left:0;top:19994;" filled="f">
                  <v:imagedata r:id="rId36"/>
                </v:shape>
              </v:group>
            </w:pict>
          </mc:Fallback>
        </mc:AlternateConten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spacing w:after="10" w:line="249" w:lineRule="auto"/>
        <w:ind w:left="355" w:hanging="10"/>
      </w:pPr>
      <w:r>
        <w:rPr>
          <w:rFonts w:ascii="Times New Roman" w:eastAsia="Times New Roman" w:hAnsi="Times New Roman" w:cs="Times New Roman"/>
          <w:sz w:val="24"/>
        </w:rPr>
        <w:t xml:space="preserve">  Segundo. - </w:t>
      </w:r>
      <w:r>
        <w:rPr>
          <w:rFonts w:ascii="Times New Roman" w:eastAsia="Times New Roman" w:hAnsi="Times New Roman" w:cs="Times New Roman"/>
          <w:sz w:val="24"/>
        </w:rPr>
        <w:t xml:space="preserve">Visto Auto de 3 de noviembre de 2020, cuyos datos se indican: </w:t>
      </w:r>
    </w:p>
    <w:p w:rsidR="00FA7413" w:rsidRDefault="00D712A8">
      <w:pPr>
        <w:spacing w:after="0"/>
        <w:ind w:left="360"/>
      </w:pPr>
      <w:r>
        <w:rPr>
          <w:noProof/>
        </w:rPr>
        <mc:AlternateContent>
          <mc:Choice Requires="wpg">
            <w:drawing>
              <wp:anchor distT="0" distB="0" distL="114300" distR="114300" simplePos="0" relativeHeight="251820032"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24289" name="Group 224289"/>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20009" name="Rectangle 20009"/>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20010" name="Rectangle 20010"/>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157 de </w:t>
                              </w:r>
                              <w:r>
                                <w:rPr>
                                  <w:rFonts w:ascii="Arial" w:eastAsia="Arial" w:hAnsi="Arial" w:cs="Arial"/>
                                  <w:sz w:val="12"/>
                                </w:rPr>
                                <w:t xml:space="preserve">180 </w:t>
                              </w:r>
                            </w:p>
                          </w:txbxContent>
                        </wps:txbx>
                        <wps:bodyPr horzOverflow="overflow" vert="horz" lIns="0" tIns="0" rIns="0" bIns="0" rtlCol="0">
                          <a:noAutofit/>
                        </wps:bodyPr>
                      </wps:wsp>
                    </wpg:wgp>
                  </a:graphicData>
                </a:graphic>
              </wp:anchor>
            </w:drawing>
          </mc:Choice>
          <mc:Fallback xmlns:a="http://schemas.openxmlformats.org/drawingml/2006/main">
            <w:pict>
              <v:group id="Group 224289" style="width:12.7031pt;height:275.586pt;position:absolute;mso-position-horizontal-relative:page;mso-position-horizontal:absolute;margin-left:682.278pt;mso-position-vertical-relative:page;margin-top:536.334pt;" coordsize="1613,34999">
                <v:rect id="Rectangle 20009"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20010"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157 de 180 </w:t>
                        </w:r>
                      </w:p>
                    </w:txbxContent>
                  </v:textbox>
                </v:rect>
                <w10:wrap type="square"/>
              </v:group>
            </w:pict>
          </mc:Fallback>
        </mc:AlternateContent>
      </w:r>
      <w:r>
        <w:rPr>
          <w:rFonts w:ascii="Times New Roman" w:eastAsia="Times New Roman" w:hAnsi="Times New Roman" w:cs="Times New Roman"/>
          <w:sz w:val="24"/>
        </w:rPr>
        <w:t xml:space="preserve"> </w:t>
      </w:r>
    </w:p>
    <w:p w:rsidR="00FA7413" w:rsidRDefault="00D712A8">
      <w:pPr>
        <w:spacing w:after="0"/>
        <w:ind w:right="1059"/>
        <w:jc w:val="right"/>
      </w:pPr>
      <w:r>
        <w:rPr>
          <w:noProof/>
        </w:rPr>
        <w:drawing>
          <wp:inline distT="0" distB="0" distL="0" distR="0">
            <wp:extent cx="5401057" cy="2644140"/>
            <wp:effectExtent l="0" t="0" r="0" b="0"/>
            <wp:docPr id="20006" name="Picture 20006"/>
            <wp:cNvGraphicFramePr/>
            <a:graphic xmlns:a="http://schemas.openxmlformats.org/drawingml/2006/main">
              <a:graphicData uri="http://schemas.openxmlformats.org/drawingml/2006/picture">
                <pic:pic xmlns:pic="http://schemas.openxmlformats.org/drawingml/2006/picture">
                  <pic:nvPicPr>
                    <pic:cNvPr id="20006" name="Picture 20006"/>
                    <pic:cNvPicPr/>
                  </pic:nvPicPr>
                  <pic:blipFill>
                    <a:blip r:embed="rId37"/>
                    <a:stretch>
                      <a:fillRect/>
                    </a:stretch>
                  </pic:blipFill>
                  <pic:spPr>
                    <a:xfrm>
                      <a:off x="0" y="0"/>
                      <a:ext cx="5401057" cy="2644140"/>
                    </a:xfrm>
                    <a:prstGeom prst="rect">
                      <a:avLst/>
                    </a:prstGeom>
                  </pic:spPr>
                </pic:pic>
              </a:graphicData>
            </a:graphic>
          </wp:inline>
        </w:drawing>
      </w:r>
      <w:r>
        <w:rPr>
          <w:rFonts w:ascii="Times New Roman" w:eastAsia="Times New Roman" w:hAnsi="Times New Roman" w:cs="Times New Roman"/>
          <w:sz w:val="24"/>
        </w:rPr>
        <w:t xml:space="preserve"> </w: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spacing w:after="11" w:line="248" w:lineRule="auto"/>
        <w:ind w:left="355" w:right="64" w:hanging="10"/>
        <w:jc w:val="both"/>
      </w:pPr>
      <w:r>
        <w:rPr>
          <w:rFonts w:ascii="Arial" w:eastAsia="Arial" w:hAnsi="Arial" w:cs="Arial"/>
        </w:rPr>
        <w:t xml:space="preserve">En el que se dispone: </w: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spacing w:after="0"/>
        <w:ind w:right="1081"/>
        <w:jc w:val="right"/>
      </w:pPr>
      <w:r>
        <w:rPr>
          <w:noProof/>
        </w:rPr>
        <w:drawing>
          <wp:inline distT="0" distB="0" distL="0" distR="0">
            <wp:extent cx="5394960" cy="3695701"/>
            <wp:effectExtent l="0" t="0" r="0" b="0"/>
            <wp:docPr id="20046" name="Picture 20046"/>
            <wp:cNvGraphicFramePr/>
            <a:graphic xmlns:a="http://schemas.openxmlformats.org/drawingml/2006/main">
              <a:graphicData uri="http://schemas.openxmlformats.org/drawingml/2006/picture">
                <pic:pic xmlns:pic="http://schemas.openxmlformats.org/drawingml/2006/picture">
                  <pic:nvPicPr>
                    <pic:cNvPr id="20046" name="Picture 20046"/>
                    <pic:cNvPicPr/>
                  </pic:nvPicPr>
                  <pic:blipFill>
                    <a:blip r:embed="rId38"/>
                    <a:stretch>
                      <a:fillRect/>
                    </a:stretch>
                  </pic:blipFill>
                  <pic:spPr>
                    <a:xfrm>
                      <a:off x="0" y="0"/>
                      <a:ext cx="5394960" cy="3695701"/>
                    </a:xfrm>
                    <a:prstGeom prst="rect">
                      <a:avLst/>
                    </a:prstGeom>
                  </pic:spPr>
                </pic:pic>
              </a:graphicData>
            </a:graphic>
          </wp:inline>
        </w:drawing>
      </w:r>
      <w:r>
        <w:rPr>
          <w:rFonts w:ascii="Times New Roman" w:eastAsia="Times New Roman" w:hAnsi="Times New Roman" w:cs="Times New Roman"/>
          <w:sz w:val="24"/>
        </w:rPr>
        <w:t xml:space="preserve"> </w: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spacing w:after="10" w:line="249" w:lineRule="auto"/>
        <w:ind w:left="355" w:hanging="10"/>
      </w:pPr>
      <w:r>
        <w:rPr>
          <w:rFonts w:ascii="Times New Roman" w:eastAsia="Times New Roman" w:hAnsi="Times New Roman" w:cs="Times New Roman"/>
          <w:sz w:val="24"/>
        </w:rPr>
        <w:t xml:space="preserve">Tercero. - Visto Decreto de 3 de noviembre de 2020 </w:t>
      </w:r>
    </w:p>
    <w:p w:rsidR="00FA7413" w:rsidRDefault="00D712A8">
      <w:pPr>
        <w:spacing w:after="0"/>
        <w:ind w:left="360"/>
      </w:pPr>
      <w:r>
        <w:rPr>
          <w:noProof/>
        </w:rPr>
        <mc:AlternateContent>
          <mc:Choice Requires="wpg">
            <w:drawing>
              <wp:anchor distT="0" distB="0" distL="114300" distR="114300" simplePos="0" relativeHeight="251821056"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24471" name="Group 224471"/>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20051" name="Rectangle 20051"/>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20052" name="Rectangle 20052"/>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158 de 180 </w:t>
                              </w:r>
                            </w:p>
                          </w:txbxContent>
                        </wps:txbx>
                        <wps:bodyPr horzOverflow="overflow" vert="horz" lIns="0" tIns="0" rIns="0" bIns="0" rtlCol="0">
                          <a:noAutofit/>
                        </wps:bodyPr>
                      </wps:wsp>
                    </wpg:wgp>
                  </a:graphicData>
                </a:graphic>
              </wp:anchor>
            </w:drawing>
          </mc:Choice>
          <mc:Fallback xmlns:a="http://schemas.openxmlformats.org/drawingml/2006/main">
            <w:pict>
              <v:group id="Group 224471" style="width:12.7031pt;height:275.586pt;position:absolute;mso-position-horizontal-relative:page;mso-position-horizontal:absolute;margin-left:682.278pt;mso-position-vertical-relative:page;margin-top:536.334pt;" coordsize="1613,34999">
                <v:rect id="Rectangle 20051"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20052"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158 de 180 </w:t>
                        </w:r>
                      </w:p>
                    </w:txbxContent>
                  </v:textbox>
                </v:rect>
                <w10:wrap type="square"/>
              </v:group>
            </w:pict>
          </mc:Fallback>
        </mc:AlternateContent>
      </w:r>
      <w:r>
        <w:rPr>
          <w:rFonts w:ascii="Times New Roman" w:eastAsia="Times New Roman" w:hAnsi="Times New Roman" w:cs="Times New Roman"/>
          <w:sz w:val="24"/>
        </w:rPr>
        <w:t xml:space="preserve"> </w:t>
      </w:r>
    </w:p>
    <w:p w:rsidR="00FA7413" w:rsidRDefault="00D712A8">
      <w:pPr>
        <w:spacing w:after="0"/>
        <w:ind w:right="1059"/>
        <w:jc w:val="right"/>
      </w:pPr>
      <w:r>
        <w:rPr>
          <w:noProof/>
        </w:rPr>
        <w:drawing>
          <wp:inline distT="0" distB="0" distL="0" distR="0">
            <wp:extent cx="5401057" cy="2743200"/>
            <wp:effectExtent l="0" t="0" r="0" b="0"/>
            <wp:docPr id="20048" name="Picture 20048"/>
            <wp:cNvGraphicFramePr/>
            <a:graphic xmlns:a="http://schemas.openxmlformats.org/drawingml/2006/main">
              <a:graphicData uri="http://schemas.openxmlformats.org/drawingml/2006/picture">
                <pic:pic xmlns:pic="http://schemas.openxmlformats.org/drawingml/2006/picture">
                  <pic:nvPicPr>
                    <pic:cNvPr id="20048" name="Picture 20048"/>
                    <pic:cNvPicPr/>
                  </pic:nvPicPr>
                  <pic:blipFill>
                    <a:blip r:embed="rId39"/>
                    <a:stretch>
                      <a:fillRect/>
                    </a:stretch>
                  </pic:blipFill>
                  <pic:spPr>
                    <a:xfrm>
                      <a:off x="0" y="0"/>
                      <a:ext cx="5401057" cy="2743200"/>
                    </a:xfrm>
                    <a:prstGeom prst="rect">
                      <a:avLst/>
                    </a:prstGeom>
                  </pic:spPr>
                </pic:pic>
              </a:graphicData>
            </a:graphic>
          </wp:inline>
        </w:drawing>
      </w:r>
      <w:r>
        <w:rPr>
          <w:rFonts w:ascii="Times New Roman" w:eastAsia="Times New Roman" w:hAnsi="Times New Roman" w:cs="Times New Roman"/>
          <w:sz w:val="24"/>
        </w:rPr>
        <w:t xml:space="preserve"> </w: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spacing w:after="10" w:line="249" w:lineRule="auto"/>
        <w:ind w:left="355" w:hanging="10"/>
      </w:pPr>
      <w:r>
        <w:rPr>
          <w:rFonts w:ascii="Times New Roman" w:eastAsia="Times New Roman" w:hAnsi="Times New Roman" w:cs="Times New Roman"/>
          <w:sz w:val="24"/>
        </w:rPr>
        <w:t xml:space="preserve">Cuarto. - Vista Diligencia de ordenación </w: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spacing w:after="0"/>
        <w:ind w:right="1081"/>
        <w:jc w:val="right"/>
      </w:pPr>
      <w:r>
        <w:rPr>
          <w:noProof/>
        </w:rPr>
        <w:drawing>
          <wp:inline distT="0" distB="0" distL="0" distR="0">
            <wp:extent cx="5393436" cy="3002280"/>
            <wp:effectExtent l="0" t="0" r="0" b="0"/>
            <wp:docPr id="20087" name="Picture 20087"/>
            <wp:cNvGraphicFramePr/>
            <a:graphic xmlns:a="http://schemas.openxmlformats.org/drawingml/2006/main">
              <a:graphicData uri="http://schemas.openxmlformats.org/drawingml/2006/picture">
                <pic:pic xmlns:pic="http://schemas.openxmlformats.org/drawingml/2006/picture">
                  <pic:nvPicPr>
                    <pic:cNvPr id="20087" name="Picture 20087"/>
                    <pic:cNvPicPr/>
                  </pic:nvPicPr>
                  <pic:blipFill>
                    <a:blip r:embed="rId40"/>
                    <a:stretch>
                      <a:fillRect/>
                    </a:stretch>
                  </pic:blipFill>
                  <pic:spPr>
                    <a:xfrm>
                      <a:off x="0" y="0"/>
                      <a:ext cx="5393436" cy="3002280"/>
                    </a:xfrm>
                    <a:prstGeom prst="rect">
                      <a:avLst/>
                    </a:prstGeom>
                  </pic:spPr>
                </pic:pic>
              </a:graphicData>
            </a:graphic>
          </wp:inline>
        </w:drawing>
      </w:r>
      <w:r>
        <w:rPr>
          <w:rFonts w:ascii="Times New Roman" w:eastAsia="Times New Roman" w:hAnsi="Times New Roman" w:cs="Times New Roman"/>
          <w:sz w:val="24"/>
        </w:rPr>
        <w:t xml:space="preserve"> </w: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spacing w:after="10" w:line="249" w:lineRule="auto"/>
        <w:ind w:left="355" w:hanging="10"/>
      </w:pPr>
      <w:r>
        <w:rPr>
          <w:rFonts w:ascii="Times New Roman" w:eastAsia="Times New Roman" w:hAnsi="Times New Roman" w:cs="Times New Roman"/>
          <w:sz w:val="24"/>
        </w:rPr>
        <w:t xml:space="preserve">  Quinto. - Visto auto de 25 de mayo de 2021 </w:t>
      </w:r>
    </w:p>
    <w:p w:rsidR="00FA7413" w:rsidRDefault="00D712A8">
      <w:pPr>
        <w:spacing w:after="0"/>
        <w:ind w:left="360"/>
      </w:pPr>
      <w:r>
        <w:rPr>
          <w:noProof/>
        </w:rPr>
        <mc:AlternateContent>
          <mc:Choice Requires="wpg">
            <w:drawing>
              <wp:anchor distT="0" distB="0" distL="114300" distR="114300" simplePos="0" relativeHeight="251822080"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24179" name="Group 224179"/>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20092" name="Rectangle 20092"/>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20093" name="Rectangle 20093"/>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159 de 180 </w:t>
                              </w:r>
                            </w:p>
                          </w:txbxContent>
                        </wps:txbx>
                        <wps:bodyPr horzOverflow="overflow" vert="horz" lIns="0" tIns="0" rIns="0" bIns="0" rtlCol="0">
                          <a:noAutofit/>
                        </wps:bodyPr>
                      </wps:wsp>
                    </wpg:wgp>
                  </a:graphicData>
                </a:graphic>
              </wp:anchor>
            </w:drawing>
          </mc:Choice>
          <mc:Fallback xmlns:a="http://schemas.openxmlformats.org/drawingml/2006/main">
            <w:pict>
              <v:group id="Group 224179" style="width:12.7031pt;height:275.586pt;position:absolute;mso-position-horizontal-relative:page;mso-position-horizontal:absolute;margin-left:682.278pt;mso-position-vertical-relative:page;margin-top:536.334pt;" coordsize="1613,34999">
                <v:rect id="Rectangle 20092"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20093"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159 de 180 </w:t>
                        </w:r>
                      </w:p>
                    </w:txbxContent>
                  </v:textbox>
                </v:rect>
                <w10:wrap type="square"/>
              </v:group>
            </w:pict>
          </mc:Fallback>
        </mc:AlternateContent>
      </w:r>
      <w:r>
        <w:rPr>
          <w:rFonts w:ascii="Times New Roman" w:eastAsia="Times New Roman" w:hAnsi="Times New Roman" w:cs="Times New Roman"/>
          <w:sz w:val="24"/>
        </w:rPr>
        <w:t xml:space="preserve">    </w:t>
      </w:r>
    </w:p>
    <w:p w:rsidR="00FA7413" w:rsidRDefault="00D712A8">
      <w:pPr>
        <w:spacing w:after="0"/>
        <w:ind w:right="1081"/>
        <w:jc w:val="right"/>
      </w:pPr>
      <w:r>
        <w:rPr>
          <w:noProof/>
        </w:rPr>
        <w:drawing>
          <wp:inline distT="0" distB="0" distL="0" distR="0">
            <wp:extent cx="5394960" cy="2674620"/>
            <wp:effectExtent l="0" t="0" r="0" b="0"/>
            <wp:docPr id="20089" name="Picture 20089"/>
            <wp:cNvGraphicFramePr/>
            <a:graphic xmlns:a="http://schemas.openxmlformats.org/drawingml/2006/main">
              <a:graphicData uri="http://schemas.openxmlformats.org/drawingml/2006/picture">
                <pic:pic xmlns:pic="http://schemas.openxmlformats.org/drawingml/2006/picture">
                  <pic:nvPicPr>
                    <pic:cNvPr id="20089" name="Picture 20089"/>
                    <pic:cNvPicPr/>
                  </pic:nvPicPr>
                  <pic:blipFill>
                    <a:blip r:embed="rId41"/>
                    <a:stretch>
                      <a:fillRect/>
                    </a:stretch>
                  </pic:blipFill>
                  <pic:spPr>
                    <a:xfrm>
                      <a:off x="0" y="0"/>
                      <a:ext cx="5394960" cy="2674620"/>
                    </a:xfrm>
                    <a:prstGeom prst="rect">
                      <a:avLst/>
                    </a:prstGeom>
                  </pic:spPr>
                </pic:pic>
              </a:graphicData>
            </a:graphic>
          </wp:inline>
        </w:drawing>
      </w:r>
      <w:r>
        <w:rPr>
          <w:rFonts w:ascii="Times New Roman" w:eastAsia="Times New Roman" w:hAnsi="Times New Roman" w:cs="Times New Roman"/>
          <w:sz w:val="24"/>
        </w:rPr>
        <w:t xml:space="preserve"> </w:t>
      </w:r>
    </w:p>
    <w:p w:rsidR="00FA7413" w:rsidRDefault="00D712A8">
      <w:pPr>
        <w:spacing w:after="10" w:line="249" w:lineRule="auto"/>
        <w:ind w:left="355" w:hanging="10"/>
      </w:pPr>
      <w:r>
        <w:rPr>
          <w:rFonts w:ascii="Times New Roman" w:eastAsia="Times New Roman" w:hAnsi="Times New Roman" w:cs="Times New Roman"/>
          <w:sz w:val="24"/>
        </w:rPr>
        <w:t xml:space="preserve">En el que se acuerda: </w: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spacing w:after="5491"/>
        <w:ind w:left="-2192" w:right="1133"/>
        <w:jc w:val="right"/>
      </w:pPr>
      <w:r>
        <w:rPr>
          <w:noProof/>
        </w:rPr>
        <mc:AlternateContent>
          <mc:Choice Requires="wpg">
            <w:drawing>
              <wp:anchor distT="0" distB="0" distL="114300" distR="114300" simplePos="0" relativeHeight="251823104"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24615" name="Group 224615"/>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20133" name="Rectangle 20133"/>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20134" name="Rectangle 20134"/>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160 de 180 </w:t>
                              </w:r>
                            </w:p>
                          </w:txbxContent>
                        </wps:txbx>
                        <wps:bodyPr horzOverflow="overflow" vert="horz" lIns="0" tIns="0" rIns="0" bIns="0" rtlCol="0">
                          <a:noAutofit/>
                        </wps:bodyPr>
                      </wps:wsp>
                    </wpg:wgp>
                  </a:graphicData>
                </a:graphic>
              </wp:anchor>
            </w:drawing>
          </mc:Choice>
          <mc:Fallback xmlns:a="http://schemas.openxmlformats.org/drawingml/2006/main">
            <w:pict>
              <v:group id="Group 224615" style="width:12.7031pt;height:275.586pt;position:absolute;mso-position-horizontal-relative:page;mso-position-horizontal:absolute;margin-left:682.278pt;mso-position-vertical-relative:page;margin-top:536.334pt;" coordsize="1613,34999">
                <v:rect id="Rectangle 20133"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20134"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160 de 180 </w:t>
                        </w:r>
                      </w:p>
                    </w:txbxContent>
                  </v:textbox>
                </v:rect>
                <w10:wrap type="square"/>
              </v:group>
            </w:pict>
          </mc:Fallback>
        </mc:AlternateContent>
      </w:r>
      <w:r>
        <w:rPr>
          <w:noProof/>
        </w:rPr>
        <mc:AlternateContent>
          <mc:Choice Requires="wpg">
            <w:drawing>
              <wp:anchor distT="0" distB="0" distL="114300" distR="114300" simplePos="0" relativeHeight="251824128" behindDoc="0" locked="0" layoutInCell="1" allowOverlap="1">
                <wp:simplePos x="0" y="0"/>
                <wp:positionH relativeFrom="column">
                  <wp:posOffset>228600</wp:posOffset>
                </wp:positionH>
                <wp:positionV relativeFrom="paragraph">
                  <wp:posOffset>-2516606</wp:posOffset>
                </wp:positionV>
                <wp:extent cx="5401057" cy="6339840"/>
                <wp:effectExtent l="0" t="0" r="0" b="0"/>
                <wp:wrapSquare wrapText="bothSides"/>
                <wp:docPr id="224613" name="Group 224613"/>
                <wp:cNvGraphicFramePr/>
                <a:graphic xmlns:a="http://schemas.openxmlformats.org/drawingml/2006/main">
                  <a:graphicData uri="http://schemas.microsoft.com/office/word/2010/wordprocessingGroup">
                    <wpg:wgp>
                      <wpg:cNvGrpSpPr/>
                      <wpg:grpSpPr>
                        <a:xfrm>
                          <a:off x="0" y="0"/>
                          <a:ext cx="5401057" cy="6339840"/>
                          <a:chOff x="0" y="0"/>
                          <a:chExt cx="5401057" cy="6339840"/>
                        </a:xfrm>
                      </wpg:grpSpPr>
                      <pic:pic xmlns:pic="http://schemas.openxmlformats.org/drawingml/2006/picture">
                        <pic:nvPicPr>
                          <pic:cNvPr id="20128" name="Picture 20128"/>
                          <pic:cNvPicPr/>
                        </pic:nvPicPr>
                        <pic:blipFill>
                          <a:blip r:embed="rId42"/>
                          <a:stretch>
                            <a:fillRect/>
                          </a:stretch>
                        </pic:blipFill>
                        <pic:spPr>
                          <a:xfrm>
                            <a:off x="0" y="0"/>
                            <a:ext cx="5394960" cy="2651760"/>
                          </a:xfrm>
                          <a:prstGeom prst="rect">
                            <a:avLst/>
                          </a:prstGeom>
                        </pic:spPr>
                      </pic:pic>
                      <pic:pic xmlns:pic="http://schemas.openxmlformats.org/drawingml/2006/picture">
                        <pic:nvPicPr>
                          <pic:cNvPr id="20130" name="Picture 20130"/>
                          <pic:cNvPicPr/>
                        </pic:nvPicPr>
                        <pic:blipFill>
                          <a:blip r:embed="rId43"/>
                          <a:stretch>
                            <a:fillRect/>
                          </a:stretch>
                        </pic:blipFill>
                        <pic:spPr>
                          <a:xfrm>
                            <a:off x="0" y="2651760"/>
                            <a:ext cx="5401057" cy="3688080"/>
                          </a:xfrm>
                          <a:prstGeom prst="rect">
                            <a:avLst/>
                          </a:prstGeom>
                        </pic:spPr>
                      </pic:pic>
                    </wpg:wgp>
                  </a:graphicData>
                </a:graphic>
              </wp:anchor>
            </w:drawing>
          </mc:Choice>
          <mc:Fallback xmlns:a="http://schemas.openxmlformats.org/drawingml/2006/main">
            <w:pict>
              <v:group id="Group 224613" style="width:425.28pt;height:499.2pt;position:absolute;mso-position-horizontal-relative:text;mso-position-horizontal:absolute;margin-left:18pt;mso-position-vertical-relative:text;margin-top:-198.158pt;" coordsize="54010,63398">
                <v:shape id="Picture 20128" style="position:absolute;width:53949;height:26517;left:0;top:0;" filled="f">
                  <v:imagedata r:id="rId44"/>
                </v:shape>
                <v:shape id="Picture 20130" style="position:absolute;width:54010;height:36880;left:0;top:26517;" filled="f">
                  <v:imagedata r:id="rId45"/>
                </v:shape>
                <w10:wrap type="square"/>
              </v:group>
            </w:pict>
          </mc:Fallback>
        </mc:AlternateConten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spacing w:after="228" w:line="248" w:lineRule="auto"/>
        <w:ind w:left="355" w:right="64" w:hanging="10"/>
        <w:jc w:val="both"/>
      </w:pPr>
      <w:r>
        <w:rPr>
          <w:rFonts w:ascii="Arial" w:eastAsia="Arial" w:hAnsi="Arial" w:cs="Arial"/>
        </w:rPr>
        <w:t xml:space="preserve">Visto documento contable RC 2.21.0.03864. </w:t>
      </w:r>
    </w:p>
    <w:p w:rsidR="00FA7413" w:rsidRDefault="00D712A8">
      <w:pPr>
        <w:spacing w:after="227" w:line="248" w:lineRule="auto"/>
        <w:ind w:left="355" w:right="64" w:hanging="10"/>
        <w:jc w:val="both"/>
      </w:pPr>
      <w:r>
        <w:rPr>
          <w:rFonts w:ascii="Arial" w:eastAsia="Arial" w:hAnsi="Arial" w:cs="Arial"/>
        </w:rPr>
        <w:t xml:space="preserve">Visto informe </w:t>
      </w:r>
      <w:r>
        <w:rPr>
          <w:rFonts w:ascii="Arial" w:eastAsia="Arial" w:hAnsi="Arial" w:cs="Arial"/>
        </w:rPr>
        <w:t>de Don José Ángel Díaz Ramos, que desempeña el puesto de trabajo de Gestor Accidental de Recursos Humanos (Dec. 3282/2001 de 28 de diciembre 2001)</w:t>
      </w:r>
      <w:r>
        <w:rPr>
          <w:rFonts w:ascii="Times New Roman" w:eastAsia="Times New Roman" w:hAnsi="Times New Roman" w:cs="Times New Roman"/>
          <w:sz w:val="24"/>
        </w:rPr>
        <w:t xml:space="preserve"> </w:t>
      </w:r>
    </w:p>
    <w:p w:rsidR="00FA7413" w:rsidRDefault="00D712A8">
      <w:pPr>
        <w:spacing w:after="216"/>
        <w:ind w:left="360"/>
      </w:pPr>
      <w:r>
        <w:rPr>
          <w:rFonts w:ascii="Times New Roman" w:eastAsia="Times New Roman" w:hAnsi="Times New Roman" w:cs="Times New Roman"/>
          <w:sz w:val="24"/>
        </w:rPr>
        <w:t xml:space="preserve"> </w: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pStyle w:val="Ttulo2"/>
        <w:ind w:left="1013" w:right="719"/>
      </w:pPr>
      <w:r>
        <w:t xml:space="preserve">FUNDAMIENTOS DE DERECHO </w:t>
      </w:r>
    </w:p>
    <w:p w:rsidR="00FA7413" w:rsidRDefault="00D712A8">
      <w:pPr>
        <w:spacing w:after="102"/>
        <w:ind w:left="346"/>
        <w:jc w:val="center"/>
      </w:pPr>
      <w:r>
        <w:rPr>
          <w:rFonts w:ascii="Arial" w:eastAsia="Arial" w:hAnsi="Arial" w:cs="Arial"/>
        </w:rPr>
        <w:t xml:space="preserve"> </w:t>
      </w:r>
    </w:p>
    <w:p w:rsidR="00FA7413" w:rsidRDefault="00D712A8">
      <w:pPr>
        <w:spacing w:after="79" w:line="248" w:lineRule="auto"/>
        <w:ind w:left="355" w:right="64" w:hanging="10"/>
        <w:jc w:val="both"/>
      </w:pPr>
      <w:r>
        <w:rPr>
          <w:rFonts w:ascii="Arial" w:eastAsia="Arial" w:hAnsi="Arial" w:cs="Arial"/>
        </w:rPr>
        <w:t>Resultan de aplicación los siguientes:</w:t>
      </w:r>
      <w:r>
        <w:rPr>
          <w:rFonts w:ascii="Times New Roman" w:eastAsia="Times New Roman" w:hAnsi="Times New Roman" w:cs="Times New Roman"/>
          <w:sz w:val="24"/>
        </w:rPr>
        <w:t xml:space="preserve"> </w:t>
      </w:r>
    </w:p>
    <w:p w:rsidR="00FA7413" w:rsidRDefault="00D712A8">
      <w:pPr>
        <w:numPr>
          <w:ilvl w:val="0"/>
          <w:numId w:val="41"/>
        </w:numPr>
        <w:spacing w:after="11" w:line="248" w:lineRule="auto"/>
        <w:ind w:left="361" w:right="64" w:hanging="360"/>
        <w:jc w:val="both"/>
      </w:pPr>
      <w:r>
        <w:rPr>
          <w:rFonts w:ascii="Arial" w:eastAsia="Arial" w:hAnsi="Arial" w:cs="Arial"/>
        </w:rPr>
        <w:t xml:space="preserve">El artículo 118 de la Constitución Española. </w:t>
      </w:r>
    </w:p>
    <w:p w:rsidR="00FA7413" w:rsidRDefault="00D712A8">
      <w:pPr>
        <w:numPr>
          <w:ilvl w:val="0"/>
          <w:numId w:val="41"/>
        </w:numPr>
        <w:spacing w:after="11" w:line="248" w:lineRule="auto"/>
        <w:ind w:left="361" w:right="64" w:hanging="360"/>
        <w:jc w:val="both"/>
      </w:pPr>
      <w:r>
        <w:rPr>
          <w:rFonts w:ascii="Arial" w:eastAsia="Arial" w:hAnsi="Arial" w:cs="Arial"/>
        </w:rPr>
        <w:t xml:space="preserve">Los artículos 17 y 25 de la Ley Orgánica 6/1985, de 1 de julio, del Poder Judicial. </w:t>
      </w:r>
    </w:p>
    <w:p w:rsidR="00FA7413" w:rsidRDefault="00D712A8">
      <w:pPr>
        <w:numPr>
          <w:ilvl w:val="0"/>
          <w:numId w:val="41"/>
        </w:numPr>
        <w:spacing w:after="109" w:line="248" w:lineRule="auto"/>
        <w:ind w:left="361" w:right="64" w:hanging="360"/>
        <w:jc w:val="both"/>
      </w:pPr>
      <w:r>
        <w:rPr>
          <w:rFonts w:ascii="Arial" w:eastAsia="Arial" w:hAnsi="Arial" w:cs="Arial"/>
        </w:rPr>
        <w:t xml:space="preserve">Los artículos 287 y 288 de la Ley 36/2011, de 10 de octubre, reguladora de la jurisdicción social. </w:t>
      </w:r>
    </w:p>
    <w:p w:rsidR="00FA7413" w:rsidRDefault="00D712A8">
      <w:pPr>
        <w:numPr>
          <w:ilvl w:val="0"/>
          <w:numId w:val="41"/>
        </w:numPr>
        <w:spacing w:after="109" w:line="248" w:lineRule="auto"/>
        <w:ind w:left="361" w:right="64" w:hanging="360"/>
        <w:jc w:val="both"/>
      </w:pPr>
      <w:r>
        <w:rPr>
          <w:rFonts w:ascii="Arial" w:eastAsia="Arial" w:hAnsi="Arial" w:cs="Arial"/>
        </w:rPr>
        <w:t>Resto de normativa y legi</w:t>
      </w:r>
      <w:r>
        <w:rPr>
          <w:rFonts w:ascii="Arial" w:eastAsia="Arial" w:hAnsi="Arial" w:cs="Arial"/>
        </w:rPr>
        <w:t xml:space="preserve">slación por aplicación de la sentencia dictada. </w:t>
      </w:r>
    </w:p>
    <w:p w:rsidR="00FA7413" w:rsidRDefault="00D712A8">
      <w:pPr>
        <w:spacing w:after="86"/>
        <w:ind w:left="360"/>
      </w:pPr>
      <w:r>
        <w:rPr>
          <w:rFonts w:ascii="Arial" w:eastAsia="Arial" w:hAnsi="Arial" w:cs="Arial"/>
        </w:rPr>
        <w:t xml:space="preserve"> </w:t>
      </w:r>
    </w:p>
    <w:p w:rsidR="00FA7413" w:rsidRDefault="00D712A8">
      <w:pPr>
        <w:spacing w:after="217" w:line="248" w:lineRule="auto"/>
        <w:ind w:left="355" w:right="64" w:hanging="10"/>
        <w:jc w:val="both"/>
      </w:pPr>
      <w:r>
        <w:rPr>
          <w:rFonts w:ascii="Arial" w:eastAsia="Arial" w:hAnsi="Arial" w:cs="Arial"/>
        </w:rPr>
        <w:t xml:space="preserve">En base a los antecedentes de hecho y fundamentos de derecho expuestos, la Técnica de Administración General que suscribe formula la siguiente. </w:t>
      </w:r>
      <w:r>
        <w:rPr>
          <w:rFonts w:ascii="Times New Roman" w:eastAsia="Times New Roman" w:hAnsi="Times New Roman" w:cs="Times New Roman"/>
          <w:sz w:val="24"/>
        </w:rPr>
        <w:t xml:space="preserve"> </w:t>
      </w:r>
    </w:p>
    <w:p w:rsidR="00FA7413" w:rsidRDefault="00D712A8">
      <w:pPr>
        <w:spacing w:after="199"/>
        <w:ind w:left="360"/>
      </w:pPr>
      <w:r>
        <w:rPr>
          <w:rFonts w:ascii="Times New Roman" w:eastAsia="Times New Roman" w:hAnsi="Times New Roman" w:cs="Times New Roman"/>
          <w:sz w:val="24"/>
        </w:rPr>
        <w:t xml:space="preserve"> </w:t>
      </w:r>
    </w:p>
    <w:p w:rsidR="00FA7413" w:rsidRDefault="00D712A8">
      <w:pPr>
        <w:pStyle w:val="Ttulo2"/>
        <w:ind w:left="1013" w:right="714"/>
      </w:pPr>
      <w:r>
        <w:t xml:space="preserve">PROPUESTA DE RESOLUCIÓN </w:t>
      </w:r>
    </w:p>
    <w:p w:rsidR="00FA7413" w:rsidRDefault="00D712A8">
      <w:pPr>
        <w:spacing w:after="95"/>
        <w:ind w:left="346"/>
        <w:jc w:val="center"/>
      </w:pPr>
      <w:r>
        <w:rPr>
          <w:rFonts w:ascii="Arial" w:eastAsia="Arial" w:hAnsi="Arial" w:cs="Arial"/>
        </w:rPr>
        <w:t xml:space="preserve"> </w:t>
      </w:r>
    </w:p>
    <w:p w:rsidR="00FA7413" w:rsidRDefault="00D712A8">
      <w:pPr>
        <w:spacing w:after="109" w:line="248" w:lineRule="auto"/>
        <w:ind w:left="355" w:right="64" w:hanging="10"/>
        <w:jc w:val="both"/>
      </w:pPr>
      <w:r>
        <w:rPr>
          <w:noProof/>
        </w:rPr>
        <mc:AlternateContent>
          <mc:Choice Requires="wpg">
            <w:drawing>
              <wp:anchor distT="0" distB="0" distL="114300" distR="114300" simplePos="0" relativeHeight="251825152"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25367" name="Group 225367"/>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20257" name="Rectangle 20257"/>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20258" name="Rectangle 20258"/>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161 de 180 </w:t>
                              </w:r>
                            </w:p>
                          </w:txbxContent>
                        </wps:txbx>
                        <wps:bodyPr horzOverflow="overflow" vert="horz" lIns="0" tIns="0" rIns="0" bIns="0" rtlCol="0">
                          <a:noAutofit/>
                        </wps:bodyPr>
                      </wps:wsp>
                    </wpg:wgp>
                  </a:graphicData>
                </a:graphic>
              </wp:anchor>
            </w:drawing>
          </mc:Choice>
          <mc:Fallback xmlns:a="http://schemas.openxmlformats.org/drawingml/2006/main">
            <w:pict>
              <v:group id="Group 225367" style="width:12.7031pt;height:275.586pt;position:absolute;mso-position-horizontal-relative:page;mso-position-horizontal:absolute;margin-left:682.278pt;mso-position-vertical-relative:page;margin-top:536.334pt;" coordsize="1613,34999">
                <v:rect id="Rectangle 20257"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20258"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161 de 180 </w:t>
                        </w:r>
                      </w:p>
                    </w:txbxContent>
                  </v:textbox>
                </v:rect>
                <w10:wrap type="square"/>
              </v:group>
            </w:pict>
          </mc:Fallback>
        </mc:AlternateContent>
      </w:r>
      <w:r>
        <w:rPr>
          <w:rFonts w:ascii="Arial" w:eastAsia="Arial" w:hAnsi="Arial" w:cs="Arial"/>
          <w:b/>
        </w:rPr>
        <w:t xml:space="preserve">PRIMERO. - </w:t>
      </w:r>
      <w:r>
        <w:rPr>
          <w:rFonts w:ascii="Arial" w:eastAsia="Arial" w:hAnsi="Arial" w:cs="Arial"/>
        </w:rPr>
        <w:t xml:space="preserve"> </w:t>
      </w:r>
      <w:r>
        <w:rPr>
          <w:rFonts w:ascii="Arial" w:eastAsia="Arial" w:hAnsi="Arial" w:cs="Arial"/>
        </w:rPr>
        <w:t xml:space="preserve">Tomar conocimiento de la Sentencia que se indica a continuación, así como los autos dictados con posterioridad: </w:t>
      </w:r>
    </w:p>
    <w:p w:rsidR="00FA7413" w:rsidRDefault="00D712A8">
      <w:pPr>
        <w:spacing w:after="47"/>
        <w:ind w:right="1080"/>
        <w:jc w:val="right"/>
      </w:pPr>
      <w:r>
        <w:rPr>
          <w:noProof/>
        </w:rPr>
        <w:drawing>
          <wp:inline distT="0" distB="0" distL="0" distR="0">
            <wp:extent cx="5394960" cy="1737360"/>
            <wp:effectExtent l="0" t="0" r="0" b="0"/>
            <wp:docPr id="20254" name="Picture 20254"/>
            <wp:cNvGraphicFramePr/>
            <a:graphic xmlns:a="http://schemas.openxmlformats.org/drawingml/2006/main">
              <a:graphicData uri="http://schemas.openxmlformats.org/drawingml/2006/picture">
                <pic:pic xmlns:pic="http://schemas.openxmlformats.org/drawingml/2006/picture">
                  <pic:nvPicPr>
                    <pic:cNvPr id="20254" name="Picture 20254"/>
                    <pic:cNvPicPr/>
                  </pic:nvPicPr>
                  <pic:blipFill>
                    <a:blip r:embed="rId32"/>
                    <a:stretch>
                      <a:fillRect/>
                    </a:stretch>
                  </pic:blipFill>
                  <pic:spPr>
                    <a:xfrm>
                      <a:off x="0" y="0"/>
                      <a:ext cx="5394960" cy="1737360"/>
                    </a:xfrm>
                    <a:prstGeom prst="rect">
                      <a:avLst/>
                    </a:prstGeom>
                  </pic:spPr>
                </pic:pic>
              </a:graphicData>
            </a:graphic>
          </wp:inline>
        </w:drawing>
      </w:r>
      <w:r>
        <w:rPr>
          <w:rFonts w:ascii="Arial" w:eastAsia="Arial" w:hAnsi="Arial" w:cs="Arial"/>
        </w:rPr>
        <w:t xml:space="preserve"> </w:t>
      </w:r>
    </w:p>
    <w:p w:rsidR="00FA7413" w:rsidRDefault="00D712A8">
      <w:pPr>
        <w:spacing w:after="109" w:line="248" w:lineRule="auto"/>
        <w:ind w:left="355" w:right="64" w:hanging="10"/>
        <w:jc w:val="both"/>
      </w:pPr>
      <w:r>
        <w:rPr>
          <w:rFonts w:ascii="Arial" w:eastAsia="Arial" w:hAnsi="Arial" w:cs="Arial"/>
          <w:b/>
        </w:rPr>
        <w:t>SEGUNDO</w:t>
      </w:r>
      <w:r>
        <w:rPr>
          <w:rFonts w:ascii="Arial" w:eastAsia="Arial" w:hAnsi="Arial" w:cs="Arial"/>
        </w:rPr>
        <w:t>. - Reconocer el derecho del empleado a percibir las cantidades correspondientes al QUINTO TRIENIO de antigüedad, por aplicación de l</w:t>
      </w:r>
      <w:r>
        <w:rPr>
          <w:rFonts w:ascii="Arial" w:eastAsia="Arial" w:hAnsi="Arial" w:cs="Arial"/>
        </w:rPr>
        <w:t xml:space="preserve">o establecido en las correspondientes Leyes de Presupuestos Generales del Estado para cada año, para el grupo C, subgrupo C1. </w:t>
      </w:r>
    </w:p>
    <w:p w:rsidR="00FA7413" w:rsidRDefault="00D712A8">
      <w:pPr>
        <w:spacing w:after="109" w:line="248" w:lineRule="auto"/>
        <w:ind w:left="355" w:right="64" w:hanging="10"/>
        <w:jc w:val="both"/>
      </w:pPr>
      <w:r>
        <w:rPr>
          <w:rFonts w:ascii="Arial" w:eastAsia="Arial" w:hAnsi="Arial" w:cs="Arial"/>
          <w:b/>
        </w:rPr>
        <w:t>TERCERO</w:t>
      </w:r>
      <w:r>
        <w:rPr>
          <w:rFonts w:ascii="Arial" w:eastAsia="Arial" w:hAnsi="Arial" w:cs="Arial"/>
        </w:rPr>
        <w:t>. - El trienio al que se hace referencia en el punto anterior estará referido al 30 de septiembre de 2018, debiendo corres</w:t>
      </w:r>
      <w:r>
        <w:rPr>
          <w:rFonts w:ascii="Arial" w:eastAsia="Arial" w:hAnsi="Arial" w:cs="Arial"/>
        </w:rPr>
        <w:t xml:space="preserve">ponder el reconocimiento de un nuevo trienio (sexto) con efectos económicos a partir del mes de octubre de 2021. </w:t>
      </w:r>
    </w:p>
    <w:p w:rsidR="00FA7413" w:rsidRDefault="00D712A8">
      <w:pPr>
        <w:spacing w:after="109" w:line="248" w:lineRule="auto"/>
        <w:ind w:left="355" w:right="64" w:hanging="10"/>
        <w:jc w:val="both"/>
      </w:pPr>
      <w:r>
        <w:rPr>
          <w:rFonts w:ascii="Arial" w:eastAsia="Arial" w:hAnsi="Arial" w:cs="Arial"/>
          <w:b/>
        </w:rPr>
        <w:t>CUARTO</w:t>
      </w:r>
      <w:r>
        <w:rPr>
          <w:rFonts w:ascii="Arial" w:eastAsia="Arial" w:hAnsi="Arial" w:cs="Arial"/>
        </w:rPr>
        <w:t xml:space="preserve">. - En atención a lo establecido en la Sentencia de 24 de julio de 2020, por la que se reconoce el derecho del empleado a la percepción </w:t>
      </w:r>
      <w:r>
        <w:rPr>
          <w:rFonts w:ascii="Arial" w:eastAsia="Arial" w:hAnsi="Arial" w:cs="Arial"/>
        </w:rPr>
        <w:t xml:space="preserve">de </w:t>
      </w:r>
      <w:r>
        <w:rPr>
          <w:rFonts w:ascii="Arial" w:eastAsia="Arial" w:hAnsi="Arial" w:cs="Arial"/>
          <w:b/>
          <w:u w:val="single" w:color="000000"/>
        </w:rPr>
        <w:t>9289.70 euros</w:t>
      </w:r>
      <w:r>
        <w:rPr>
          <w:rFonts w:ascii="Arial" w:eastAsia="Arial" w:hAnsi="Arial" w:cs="Arial"/>
        </w:rPr>
        <w:t xml:space="preserve"> repartidos entre el mes de junio de 2017 y septiembre de 2019 (</w:t>
      </w:r>
      <w:r>
        <w:rPr>
          <w:rFonts w:ascii="Arial" w:eastAsia="Arial" w:hAnsi="Arial" w:cs="Arial"/>
          <w:u w:val="single" w:color="000000"/>
        </w:rPr>
        <w:t>28 meses</w:t>
      </w:r>
      <w:r>
        <w:rPr>
          <w:rFonts w:ascii="Arial" w:eastAsia="Arial" w:hAnsi="Arial" w:cs="Arial"/>
        </w:rPr>
        <w:t xml:space="preserve">), esto es un importe de atrasos mensual de </w:t>
      </w:r>
      <w:r>
        <w:rPr>
          <w:rFonts w:ascii="Arial" w:eastAsia="Arial" w:hAnsi="Arial" w:cs="Arial"/>
          <w:b/>
          <w:u w:val="single" w:color="000000"/>
        </w:rPr>
        <w:t>331.78</w:t>
      </w:r>
      <w:r>
        <w:rPr>
          <w:rFonts w:ascii="Arial" w:eastAsia="Arial" w:hAnsi="Arial" w:cs="Arial"/>
          <w:b/>
        </w:rPr>
        <w:t xml:space="preserve"> </w:t>
      </w:r>
      <w:r>
        <w:rPr>
          <w:rFonts w:ascii="Arial" w:eastAsia="Arial" w:hAnsi="Arial" w:cs="Arial"/>
          <w:b/>
          <w:u w:val="single" w:color="000000"/>
        </w:rPr>
        <w:t>euros brutos mensuales</w:t>
      </w:r>
      <w:r>
        <w:rPr>
          <w:rFonts w:ascii="Arial" w:eastAsia="Arial" w:hAnsi="Arial" w:cs="Arial"/>
        </w:rPr>
        <w:t xml:space="preserve">. </w:t>
      </w:r>
    </w:p>
    <w:p w:rsidR="00FA7413" w:rsidRDefault="00D712A8">
      <w:pPr>
        <w:spacing w:after="109" w:line="248" w:lineRule="auto"/>
        <w:ind w:left="355" w:right="64" w:hanging="10"/>
        <w:jc w:val="both"/>
      </w:pPr>
      <w:r>
        <w:rPr>
          <w:rFonts w:ascii="Arial" w:eastAsia="Arial" w:hAnsi="Arial" w:cs="Arial"/>
          <w:b/>
        </w:rPr>
        <w:t>QUINTO</w:t>
      </w:r>
      <w:r>
        <w:rPr>
          <w:rFonts w:ascii="Arial" w:eastAsia="Arial" w:hAnsi="Arial" w:cs="Arial"/>
        </w:rPr>
        <w:t xml:space="preserve">. - Establecer la estructura retributiva mensual y anual que se indica a continuación </w:t>
      </w:r>
      <w:r>
        <w:rPr>
          <w:rFonts w:ascii="Arial" w:eastAsia="Arial" w:hAnsi="Arial" w:cs="Arial"/>
        </w:rPr>
        <w:t xml:space="preserve">para el empleado, a partir de la nómina del mes de abril de 2021, teniendo en cuenta que las retribuciones básicas son las fijadas por las respectivas Leyes de Presupuestos Generales del Estado correspondientes a cada año: </w:t>
      </w:r>
    </w:p>
    <w:p w:rsidR="00FA7413" w:rsidRDefault="00D712A8">
      <w:pPr>
        <w:tabs>
          <w:tab w:val="center" w:pos="1341"/>
          <w:tab w:val="center" w:pos="3762"/>
          <w:tab w:val="center" w:pos="4884"/>
          <w:tab w:val="center" w:pos="6060"/>
        </w:tabs>
        <w:spacing w:after="0"/>
      </w:pPr>
      <w:r>
        <w:tab/>
      </w:r>
      <w:r>
        <w:rPr>
          <w:b/>
          <w:sz w:val="24"/>
        </w:rPr>
        <w:t>Cantidades men-</w:t>
      </w:r>
      <w:r>
        <w:rPr>
          <w:b/>
          <w:sz w:val="24"/>
        </w:rPr>
        <w:tab/>
        <w:t xml:space="preserve">Ant. C1 </w:t>
      </w:r>
      <w:r>
        <w:rPr>
          <w:b/>
          <w:sz w:val="24"/>
        </w:rPr>
        <w:tab/>
        <w:t xml:space="preserve">Pagas </w:t>
      </w:r>
      <w:r>
        <w:rPr>
          <w:b/>
          <w:sz w:val="24"/>
        </w:rPr>
        <w:t>ju-</w:t>
      </w:r>
      <w:r>
        <w:rPr>
          <w:b/>
          <w:sz w:val="24"/>
        </w:rPr>
        <w:tab/>
        <w:t xml:space="preserve">Paga Dic. </w:t>
      </w:r>
    </w:p>
    <w:tbl>
      <w:tblPr>
        <w:tblStyle w:val="TableGrid"/>
        <w:tblW w:w="7861" w:type="dxa"/>
        <w:tblInd w:w="430" w:type="dxa"/>
        <w:tblCellMar>
          <w:top w:w="0" w:type="dxa"/>
          <w:left w:w="70" w:type="dxa"/>
          <w:bottom w:w="0" w:type="dxa"/>
          <w:right w:w="15" w:type="dxa"/>
        </w:tblCellMar>
        <w:tblLook w:val="04A0" w:firstRow="1" w:lastRow="0" w:firstColumn="1" w:lastColumn="0" w:noHBand="0" w:noVBand="1"/>
      </w:tblPr>
      <w:tblGrid>
        <w:gridCol w:w="2028"/>
        <w:gridCol w:w="809"/>
        <w:gridCol w:w="991"/>
        <w:gridCol w:w="1253"/>
        <w:gridCol w:w="1102"/>
        <w:gridCol w:w="686"/>
        <w:gridCol w:w="991"/>
      </w:tblGrid>
      <w:tr w:rsidR="00FA7413">
        <w:trPr>
          <w:trHeight w:val="250"/>
        </w:trPr>
        <w:tc>
          <w:tcPr>
            <w:tcW w:w="2028" w:type="dxa"/>
            <w:tcBorders>
              <w:top w:val="nil"/>
              <w:left w:val="nil"/>
              <w:bottom w:val="single" w:sz="4" w:space="0" w:color="000000"/>
              <w:right w:val="nil"/>
            </w:tcBorders>
          </w:tcPr>
          <w:p w:rsidR="00FA7413" w:rsidRDefault="00D712A8">
            <w:pPr>
              <w:spacing w:after="0"/>
            </w:pPr>
            <w:r>
              <w:rPr>
                <w:b/>
                <w:sz w:val="24"/>
              </w:rPr>
              <w:t xml:space="preserve">suales </w:t>
            </w:r>
          </w:p>
        </w:tc>
        <w:tc>
          <w:tcPr>
            <w:tcW w:w="809" w:type="dxa"/>
            <w:tcBorders>
              <w:top w:val="nil"/>
              <w:left w:val="nil"/>
              <w:bottom w:val="single" w:sz="4" w:space="0" w:color="000000"/>
              <w:right w:val="nil"/>
            </w:tcBorders>
          </w:tcPr>
          <w:p w:rsidR="00FA7413" w:rsidRDefault="00D712A8">
            <w:pPr>
              <w:spacing w:after="0"/>
              <w:ind w:left="58"/>
            </w:pPr>
            <w:r>
              <w:rPr>
                <w:b/>
                <w:sz w:val="24"/>
              </w:rPr>
              <w:t xml:space="preserve">SB C1 </w:t>
            </w:r>
          </w:p>
        </w:tc>
        <w:tc>
          <w:tcPr>
            <w:tcW w:w="991" w:type="dxa"/>
            <w:tcBorders>
              <w:top w:val="nil"/>
              <w:left w:val="nil"/>
              <w:bottom w:val="single" w:sz="4" w:space="0" w:color="000000"/>
              <w:right w:val="nil"/>
            </w:tcBorders>
          </w:tcPr>
          <w:p w:rsidR="00FA7413" w:rsidRDefault="00D712A8">
            <w:pPr>
              <w:spacing w:after="0"/>
              <w:ind w:right="59"/>
              <w:jc w:val="center"/>
            </w:pPr>
            <w:r>
              <w:rPr>
                <w:b/>
                <w:sz w:val="24"/>
              </w:rPr>
              <w:t xml:space="preserve">(5) </w:t>
            </w:r>
          </w:p>
        </w:tc>
        <w:tc>
          <w:tcPr>
            <w:tcW w:w="1253" w:type="dxa"/>
            <w:tcBorders>
              <w:top w:val="nil"/>
              <w:left w:val="nil"/>
              <w:bottom w:val="single" w:sz="4" w:space="0" w:color="000000"/>
              <w:right w:val="nil"/>
            </w:tcBorders>
          </w:tcPr>
          <w:p w:rsidR="00FA7413" w:rsidRDefault="00D712A8">
            <w:pPr>
              <w:spacing w:after="0"/>
              <w:ind w:right="53"/>
              <w:jc w:val="center"/>
            </w:pPr>
            <w:r>
              <w:rPr>
                <w:b/>
                <w:sz w:val="24"/>
              </w:rPr>
              <w:t xml:space="preserve">nio C1 </w:t>
            </w:r>
          </w:p>
        </w:tc>
        <w:tc>
          <w:tcPr>
            <w:tcW w:w="1102" w:type="dxa"/>
            <w:tcBorders>
              <w:top w:val="nil"/>
              <w:left w:val="nil"/>
              <w:bottom w:val="single" w:sz="4" w:space="0" w:color="000000"/>
              <w:right w:val="nil"/>
            </w:tcBorders>
          </w:tcPr>
          <w:p w:rsidR="00FA7413" w:rsidRDefault="00D712A8">
            <w:pPr>
              <w:spacing w:after="0"/>
              <w:ind w:right="57"/>
              <w:jc w:val="center"/>
            </w:pPr>
            <w:r>
              <w:rPr>
                <w:b/>
                <w:sz w:val="24"/>
              </w:rPr>
              <w:t xml:space="preserve">C1 </w:t>
            </w:r>
          </w:p>
        </w:tc>
        <w:tc>
          <w:tcPr>
            <w:tcW w:w="1678" w:type="dxa"/>
            <w:gridSpan w:val="2"/>
            <w:tcBorders>
              <w:top w:val="nil"/>
              <w:left w:val="nil"/>
              <w:bottom w:val="single" w:sz="4" w:space="0" w:color="000000"/>
              <w:right w:val="nil"/>
            </w:tcBorders>
          </w:tcPr>
          <w:p w:rsidR="00FA7413" w:rsidRDefault="00D712A8">
            <w:pPr>
              <w:tabs>
                <w:tab w:val="right" w:pos="1593"/>
              </w:tabs>
              <w:spacing w:after="0"/>
            </w:pPr>
            <w:r>
              <w:rPr>
                <w:b/>
                <w:sz w:val="24"/>
              </w:rPr>
              <w:t xml:space="preserve">CPT </w:t>
            </w:r>
            <w:r>
              <w:rPr>
                <w:b/>
                <w:sz w:val="24"/>
              </w:rPr>
              <w:tab/>
              <w:t xml:space="preserve">TOTAL </w:t>
            </w:r>
          </w:p>
        </w:tc>
      </w:tr>
      <w:tr w:rsidR="00FA7413">
        <w:trPr>
          <w:trHeight w:val="312"/>
        </w:trPr>
        <w:tc>
          <w:tcPr>
            <w:tcW w:w="2028"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año 2021 </w:t>
            </w:r>
          </w:p>
        </w:tc>
        <w:tc>
          <w:tcPr>
            <w:tcW w:w="809" w:type="dxa"/>
            <w:tcBorders>
              <w:top w:val="single" w:sz="4" w:space="0" w:color="000000"/>
              <w:left w:val="single" w:sz="4" w:space="0" w:color="000000"/>
              <w:bottom w:val="single" w:sz="4" w:space="0" w:color="000000"/>
              <w:right w:val="single" w:sz="4" w:space="0" w:color="000000"/>
            </w:tcBorders>
          </w:tcPr>
          <w:p w:rsidR="00FA7413" w:rsidRDefault="00D712A8">
            <w:pPr>
              <w:spacing w:after="0"/>
              <w:jc w:val="both"/>
            </w:pPr>
            <w:r>
              <w:rPr>
                <w:sz w:val="24"/>
              </w:rPr>
              <w:t xml:space="preserve">788,42 </w:t>
            </w:r>
          </w:p>
        </w:tc>
        <w:tc>
          <w:tcPr>
            <w:tcW w:w="99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91"/>
            </w:pPr>
            <w:r>
              <w:rPr>
                <w:sz w:val="24"/>
              </w:rPr>
              <w:t xml:space="preserve">144,25 </w:t>
            </w:r>
          </w:p>
        </w:tc>
        <w:tc>
          <w:tcPr>
            <w:tcW w:w="125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center"/>
            </w:pPr>
            <w:r>
              <w:rPr>
                <w:sz w:val="24"/>
              </w:rPr>
              <w:t xml:space="preserve">130,52 </w:t>
            </w:r>
          </w:p>
        </w:tc>
        <w:tc>
          <w:tcPr>
            <w:tcW w:w="110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center"/>
            </w:pPr>
            <w:r>
              <w:rPr>
                <w:sz w:val="24"/>
              </w:rPr>
              <w:t xml:space="preserve">130,52 </w:t>
            </w:r>
          </w:p>
        </w:tc>
        <w:tc>
          <w:tcPr>
            <w:tcW w:w="686" w:type="dxa"/>
            <w:tcBorders>
              <w:top w:val="single" w:sz="4" w:space="0" w:color="000000"/>
              <w:left w:val="single" w:sz="4" w:space="0" w:color="000000"/>
              <w:bottom w:val="single" w:sz="4" w:space="0" w:color="000000"/>
              <w:right w:val="single" w:sz="4" w:space="0" w:color="000000"/>
            </w:tcBorders>
          </w:tcPr>
          <w:p w:rsidR="00FA7413" w:rsidRDefault="00D712A8">
            <w:pPr>
              <w:spacing w:after="0"/>
              <w:jc w:val="both"/>
            </w:pPr>
            <w:r>
              <w:rPr>
                <w:sz w:val="24"/>
              </w:rPr>
              <w:t xml:space="preserve">84,56 </w:t>
            </w:r>
          </w:p>
        </w:tc>
        <w:tc>
          <w:tcPr>
            <w:tcW w:w="99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2"/>
              <w:jc w:val="both"/>
            </w:pPr>
            <w:r>
              <w:rPr>
                <w:sz w:val="24"/>
              </w:rPr>
              <w:t xml:space="preserve">1.278,26 </w:t>
            </w:r>
          </w:p>
        </w:tc>
      </w:tr>
    </w:tbl>
    <w:p w:rsidR="00FA7413" w:rsidRDefault="00D712A8">
      <w:pPr>
        <w:spacing w:after="138"/>
        <w:ind w:left="360"/>
      </w:pPr>
      <w:r>
        <w:rPr>
          <w:rFonts w:ascii="Arial" w:eastAsia="Arial" w:hAnsi="Arial" w:cs="Arial"/>
        </w:rPr>
        <w:t xml:space="preserve"> </w:t>
      </w:r>
    </w:p>
    <w:p w:rsidR="00FA7413" w:rsidRDefault="00D712A8">
      <w:pPr>
        <w:tabs>
          <w:tab w:val="center" w:pos="1055"/>
          <w:tab w:val="center" w:pos="3491"/>
          <w:tab w:val="center" w:pos="4620"/>
          <w:tab w:val="center" w:pos="5806"/>
        </w:tabs>
        <w:spacing w:after="0"/>
      </w:pPr>
      <w:r>
        <w:tab/>
      </w:r>
      <w:r>
        <w:rPr>
          <w:b/>
          <w:sz w:val="24"/>
        </w:rPr>
        <w:t xml:space="preserve">Cantidades </w:t>
      </w:r>
      <w:r>
        <w:rPr>
          <w:b/>
          <w:sz w:val="24"/>
        </w:rPr>
        <w:tab/>
        <w:t xml:space="preserve">Ant. C1 </w:t>
      </w:r>
      <w:r>
        <w:rPr>
          <w:b/>
          <w:sz w:val="24"/>
        </w:rPr>
        <w:tab/>
        <w:t>Pagas ju-</w:t>
      </w:r>
      <w:r>
        <w:rPr>
          <w:b/>
          <w:sz w:val="24"/>
        </w:rPr>
        <w:tab/>
        <w:t xml:space="preserve">Paga Dic. </w:t>
      </w:r>
    </w:p>
    <w:tbl>
      <w:tblPr>
        <w:tblStyle w:val="TableGrid"/>
        <w:tblW w:w="8034" w:type="dxa"/>
        <w:tblInd w:w="430" w:type="dxa"/>
        <w:tblCellMar>
          <w:top w:w="0" w:type="dxa"/>
          <w:left w:w="70" w:type="dxa"/>
          <w:bottom w:w="0" w:type="dxa"/>
          <w:right w:w="15" w:type="dxa"/>
        </w:tblCellMar>
        <w:tblLook w:val="04A0" w:firstRow="1" w:lastRow="0" w:firstColumn="1" w:lastColumn="0" w:noHBand="0" w:noVBand="1"/>
      </w:tblPr>
      <w:tblGrid>
        <w:gridCol w:w="1572"/>
        <w:gridCol w:w="992"/>
        <w:gridCol w:w="998"/>
        <w:gridCol w:w="1262"/>
        <w:gridCol w:w="1107"/>
        <w:gridCol w:w="991"/>
        <w:gridCol w:w="1112"/>
      </w:tblGrid>
      <w:tr w:rsidR="00FA7413">
        <w:trPr>
          <w:trHeight w:val="250"/>
        </w:trPr>
        <w:tc>
          <w:tcPr>
            <w:tcW w:w="1572" w:type="dxa"/>
            <w:tcBorders>
              <w:top w:val="nil"/>
              <w:left w:val="nil"/>
              <w:bottom w:val="single" w:sz="4" w:space="0" w:color="000000"/>
              <w:right w:val="nil"/>
            </w:tcBorders>
          </w:tcPr>
          <w:p w:rsidR="00FA7413" w:rsidRDefault="00D712A8">
            <w:pPr>
              <w:spacing w:after="0"/>
            </w:pPr>
            <w:r>
              <w:rPr>
                <w:b/>
                <w:sz w:val="24"/>
              </w:rPr>
              <w:t xml:space="preserve">anuales </w:t>
            </w:r>
          </w:p>
        </w:tc>
        <w:tc>
          <w:tcPr>
            <w:tcW w:w="1990" w:type="dxa"/>
            <w:gridSpan w:val="2"/>
            <w:tcBorders>
              <w:top w:val="nil"/>
              <w:left w:val="nil"/>
              <w:bottom w:val="single" w:sz="4" w:space="0" w:color="000000"/>
              <w:right w:val="nil"/>
            </w:tcBorders>
          </w:tcPr>
          <w:p w:rsidR="00FA7413" w:rsidRDefault="00D712A8">
            <w:pPr>
              <w:tabs>
                <w:tab w:val="center" w:pos="1420"/>
              </w:tabs>
              <w:spacing w:after="0"/>
            </w:pPr>
            <w:r>
              <w:rPr>
                <w:b/>
                <w:sz w:val="24"/>
              </w:rPr>
              <w:t xml:space="preserve">SB C1 </w:t>
            </w:r>
            <w:r>
              <w:rPr>
                <w:b/>
                <w:sz w:val="24"/>
              </w:rPr>
              <w:tab/>
              <w:t xml:space="preserve">(5) </w:t>
            </w:r>
          </w:p>
        </w:tc>
        <w:tc>
          <w:tcPr>
            <w:tcW w:w="1262" w:type="dxa"/>
            <w:tcBorders>
              <w:top w:val="nil"/>
              <w:left w:val="nil"/>
              <w:bottom w:val="single" w:sz="4" w:space="0" w:color="000000"/>
              <w:right w:val="nil"/>
            </w:tcBorders>
          </w:tcPr>
          <w:p w:rsidR="00FA7413" w:rsidRDefault="00D712A8">
            <w:pPr>
              <w:spacing w:after="0"/>
              <w:ind w:right="58"/>
              <w:jc w:val="center"/>
            </w:pPr>
            <w:r>
              <w:rPr>
                <w:b/>
                <w:sz w:val="24"/>
              </w:rPr>
              <w:t xml:space="preserve">nio C1 </w:t>
            </w:r>
          </w:p>
        </w:tc>
        <w:tc>
          <w:tcPr>
            <w:tcW w:w="1107" w:type="dxa"/>
            <w:tcBorders>
              <w:top w:val="nil"/>
              <w:left w:val="nil"/>
              <w:bottom w:val="single" w:sz="4" w:space="0" w:color="000000"/>
              <w:right w:val="nil"/>
            </w:tcBorders>
          </w:tcPr>
          <w:p w:rsidR="00FA7413" w:rsidRDefault="00D712A8">
            <w:pPr>
              <w:spacing w:after="0"/>
              <w:ind w:right="57"/>
              <w:jc w:val="center"/>
            </w:pPr>
            <w:r>
              <w:rPr>
                <w:b/>
                <w:sz w:val="24"/>
              </w:rPr>
              <w:t xml:space="preserve">C1 </w:t>
            </w:r>
          </w:p>
        </w:tc>
        <w:tc>
          <w:tcPr>
            <w:tcW w:w="2103" w:type="dxa"/>
            <w:gridSpan w:val="2"/>
            <w:tcBorders>
              <w:top w:val="nil"/>
              <w:left w:val="nil"/>
              <w:bottom w:val="single" w:sz="4" w:space="0" w:color="000000"/>
              <w:right w:val="nil"/>
            </w:tcBorders>
          </w:tcPr>
          <w:p w:rsidR="00FA7413" w:rsidRDefault="00D712A8">
            <w:pPr>
              <w:tabs>
                <w:tab w:val="center" w:pos="424"/>
                <w:tab w:val="center" w:pos="1476"/>
              </w:tabs>
              <w:spacing w:after="0"/>
            </w:pPr>
            <w:r>
              <w:tab/>
            </w:r>
            <w:r>
              <w:rPr>
                <w:b/>
                <w:sz w:val="24"/>
              </w:rPr>
              <w:t xml:space="preserve">CPT </w:t>
            </w:r>
            <w:r>
              <w:rPr>
                <w:b/>
                <w:sz w:val="24"/>
              </w:rPr>
              <w:tab/>
              <w:t xml:space="preserve">TOTAL </w:t>
            </w:r>
          </w:p>
        </w:tc>
      </w:tr>
      <w:tr w:rsidR="00FA7413">
        <w:trPr>
          <w:trHeight w:val="313"/>
        </w:trPr>
        <w:tc>
          <w:tcPr>
            <w:tcW w:w="1572"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año 2021 </w:t>
            </w:r>
          </w:p>
        </w:tc>
        <w:tc>
          <w:tcPr>
            <w:tcW w:w="992" w:type="dxa"/>
            <w:tcBorders>
              <w:top w:val="single" w:sz="4" w:space="0" w:color="000000"/>
              <w:left w:val="single" w:sz="4" w:space="0" w:color="000000"/>
              <w:bottom w:val="single" w:sz="4" w:space="0" w:color="000000"/>
              <w:right w:val="single" w:sz="4" w:space="0" w:color="000000"/>
            </w:tcBorders>
          </w:tcPr>
          <w:p w:rsidR="00FA7413" w:rsidRDefault="00D712A8">
            <w:pPr>
              <w:spacing w:after="0"/>
              <w:jc w:val="both"/>
            </w:pPr>
            <w:r>
              <w:rPr>
                <w:sz w:val="24"/>
              </w:rPr>
              <w:t xml:space="preserve">9.461,04 </w:t>
            </w:r>
          </w:p>
        </w:tc>
        <w:tc>
          <w:tcPr>
            <w:tcW w:w="998"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2"/>
              <w:jc w:val="both"/>
            </w:pPr>
            <w:r>
              <w:rPr>
                <w:sz w:val="24"/>
              </w:rPr>
              <w:t xml:space="preserve">1.731,00 </w:t>
            </w:r>
          </w:p>
        </w:tc>
        <w:tc>
          <w:tcPr>
            <w:tcW w:w="126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8"/>
              <w:jc w:val="center"/>
            </w:pPr>
            <w:r>
              <w:rPr>
                <w:sz w:val="24"/>
              </w:rPr>
              <w:t xml:space="preserve">1.566,20 </w:t>
            </w:r>
          </w:p>
        </w:tc>
        <w:tc>
          <w:tcPr>
            <w:tcW w:w="1107"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58"/>
            </w:pPr>
            <w:r>
              <w:rPr>
                <w:sz w:val="24"/>
              </w:rPr>
              <w:t xml:space="preserve">1.566,20 </w:t>
            </w:r>
          </w:p>
        </w:tc>
        <w:tc>
          <w:tcPr>
            <w:tcW w:w="991" w:type="dxa"/>
            <w:tcBorders>
              <w:top w:val="single" w:sz="4" w:space="0" w:color="000000"/>
              <w:left w:val="single" w:sz="4" w:space="0" w:color="000000"/>
              <w:bottom w:val="single" w:sz="4" w:space="0" w:color="000000"/>
              <w:right w:val="single" w:sz="4" w:space="0" w:color="000000"/>
            </w:tcBorders>
          </w:tcPr>
          <w:p w:rsidR="00FA7413" w:rsidRDefault="00D712A8">
            <w:pPr>
              <w:spacing w:after="0"/>
              <w:jc w:val="both"/>
            </w:pPr>
            <w:r>
              <w:rPr>
                <w:sz w:val="24"/>
              </w:rPr>
              <w:t xml:space="preserve">1.014,66 </w:t>
            </w:r>
          </w:p>
        </w:tc>
        <w:tc>
          <w:tcPr>
            <w:tcW w:w="1112" w:type="dxa"/>
            <w:tcBorders>
              <w:top w:val="single" w:sz="4" w:space="0" w:color="000000"/>
              <w:left w:val="single" w:sz="4" w:space="0" w:color="000000"/>
              <w:bottom w:val="single" w:sz="4" w:space="0" w:color="000000"/>
              <w:right w:val="single" w:sz="4" w:space="0" w:color="000000"/>
            </w:tcBorders>
          </w:tcPr>
          <w:p w:rsidR="00FA7413" w:rsidRDefault="00D712A8">
            <w:pPr>
              <w:spacing w:after="0"/>
              <w:jc w:val="both"/>
            </w:pPr>
            <w:r>
              <w:rPr>
                <w:sz w:val="24"/>
              </w:rPr>
              <w:t xml:space="preserve">15.339,10 </w:t>
            </w:r>
          </w:p>
        </w:tc>
      </w:tr>
    </w:tbl>
    <w:p w:rsidR="00FA7413" w:rsidRDefault="00D712A8">
      <w:pPr>
        <w:spacing w:after="95"/>
        <w:ind w:left="360"/>
      </w:pPr>
      <w:r>
        <w:rPr>
          <w:rFonts w:ascii="Arial" w:eastAsia="Arial" w:hAnsi="Arial" w:cs="Arial"/>
        </w:rPr>
        <w:t xml:space="preserve"> </w:t>
      </w:r>
    </w:p>
    <w:p w:rsidR="00FA7413" w:rsidRDefault="00D712A8">
      <w:pPr>
        <w:spacing w:after="138" w:line="248" w:lineRule="auto"/>
        <w:ind w:left="355" w:right="64" w:hanging="10"/>
        <w:jc w:val="both"/>
      </w:pPr>
      <w:r>
        <w:rPr>
          <w:rFonts w:ascii="Arial" w:eastAsia="Arial" w:hAnsi="Arial" w:cs="Arial"/>
          <w:b/>
        </w:rPr>
        <w:t>SEXTO</w:t>
      </w:r>
      <w:r>
        <w:rPr>
          <w:rFonts w:ascii="Arial" w:eastAsia="Arial" w:hAnsi="Arial" w:cs="Arial"/>
        </w:rPr>
        <w:t xml:space="preserve">. - </w:t>
      </w:r>
      <w:r>
        <w:rPr>
          <w:rFonts w:ascii="Arial" w:eastAsia="Arial" w:hAnsi="Arial" w:cs="Arial"/>
        </w:rPr>
        <w:t>Establecer un cálculo de Complemento Personal Transitorio (CPT) que incluye las diferencias entre las retribuciones percibidas y las devengadas en base a la estructura retributiva en el punto anterior, excluyendo las cantidades correspondientes al concepto</w:t>
      </w:r>
      <w:r>
        <w:rPr>
          <w:rFonts w:ascii="Arial" w:eastAsia="Arial" w:hAnsi="Arial" w:cs="Arial"/>
        </w:rPr>
        <w:t xml:space="preserve"> antigüedad y antigüedad pagas extras, esto es: </w:t>
      </w:r>
    </w:p>
    <w:p w:rsidR="00FA7413" w:rsidRDefault="00D712A8">
      <w:pPr>
        <w:spacing w:after="0"/>
        <w:ind w:left="495" w:hanging="10"/>
      </w:pPr>
      <w:r>
        <w:rPr>
          <w:b/>
          <w:sz w:val="24"/>
        </w:rPr>
        <w:t>Salarios reconocidos en nó-</w:t>
      </w:r>
    </w:p>
    <w:p w:rsidR="00FA7413" w:rsidRDefault="00D712A8">
      <w:pPr>
        <w:tabs>
          <w:tab w:val="center" w:pos="751"/>
          <w:tab w:val="center" w:pos="4089"/>
          <w:tab w:val="center" w:pos="5175"/>
        </w:tabs>
        <w:spacing w:after="0"/>
      </w:pPr>
      <w:r>
        <w:tab/>
      </w:r>
      <w:r>
        <w:rPr>
          <w:b/>
          <w:sz w:val="24"/>
        </w:rPr>
        <w:t xml:space="preserve">mina </w:t>
      </w:r>
      <w:r>
        <w:rPr>
          <w:b/>
          <w:sz w:val="24"/>
        </w:rPr>
        <w:tab/>
      </w:r>
      <w:r>
        <w:rPr>
          <w:sz w:val="24"/>
        </w:rPr>
        <w:t xml:space="preserve">mes </w:t>
      </w:r>
      <w:r>
        <w:rPr>
          <w:sz w:val="24"/>
        </w:rPr>
        <w:tab/>
        <w:t xml:space="preserve">año </w:t>
      </w:r>
    </w:p>
    <w:tbl>
      <w:tblPr>
        <w:tblStyle w:val="TableGrid"/>
        <w:tblW w:w="5315" w:type="dxa"/>
        <w:tblInd w:w="430" w:type="dxa"/>
        <w:tblCellMar>
          <w:top w:w="60" w:type="dxa"/>
          <w:left w:w="70" w:type="dxa"/>
          <w:bottom w:w="0" w:type="dxa"/>
          <w:right w:w="30" w:type="dxa"/>
        </w:tblCellMar>
        <w:tblLook w:val="04A0" w:firstRow="1" w:lastRow="0" w:firstColumn="1" w:lastColumn="0" w:noHBand="0" w:noVBand="1"/>
      </w:tblPr>
      <w:tblGrid>
        <w:gridCol w:w="3145"/>
        <w:gridCol w:w="1030"/>
        <w:gridCol w:w="1140"/>
      </w:tblGrid>
      <w:tr w:rsidR="00FA7413">
        <w:trPr>
          <w:trHeight w:val="310"/>
        </w:trPr>
        <w:tc>
          <w:tcPr>
            <w:tcW w:w="3145"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año 2019 </w:t>
            </w:r>
          </w:p>
        </w:tc>
        <w:tc>
          <w:tcPr>
            <w:tcW w:w="103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19"/>
              <w:jc w:val="both"/>
            </w:pPr>
            <w:r>
              <w:rPr>
                <w:sz w:val="24"/>
              </w:rPr>
              <w:t xml:space="preserve">1.081,69 </w:t>
            </w:r>
          </w:p>
        </w:tc>
        <w:tc>
          <w:tcPr>
            <w:tcW w:w="114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14"/>
              <w:jc w:val="both"/>
            </w:pPr>
            <w:r>
              <w:rPr>
                <w:sz w:val="24"/>
              </w:rPr>
              <w:t xml:space="preserve">12.980,28 </w:t>
            </w:r>
          </w:p>
        </w:tc>
      </w:tr>
      <w:tr w:rsidR="00FA7413">
        <w:trPr>
          <w:trHeight w:val="310"/>
        </w:trPr>
        <w:tc>
          <w:tcPr>
            <w:tcW w:w="3145"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año 2020 </w:t>
            </w:r>
          </w:p>
        </w:tc>
        <w:tc>
          <w:tcPr>
            <w:tcW w:w="103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19"/>
              <w:jc w:val="both"/>
            </w:pPr>
            <w:r>
              <w:rPr>
                <w:sz w:val="24"/>
              </w:rPr>
              <w:t xml:space="preserve">1.103,32 </w:t>
            </w:r>
          </w:p>
        </w:tc>
        <w:tc>
          <w:tcPr>
            <w:tcW w:w="114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14"/>
              <w:jc w:val="both"/>
            </w:pPr>
            <w:r>
              <w:rPr>
                <w:sz w:val="24"/>
              </w:rPr>
              <w:t xml:space="preserve">13.239,84 </w:t>
            </w:r>
          </w:p>
        </w:tc>
      </w:tr>
      <w:tr w:rsidR="00FA7413">
        <w:trPr>
          <w:trHeight w:val="310"/>
        </w:trPr>
        <w:tc>
          <w:tcPr>
            <w:tcW w:w="3145"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año 2021 </w:t>
            </w:r>
          </w:p>
        </w:tc>
        <w:tc>
          <w:tcPr>
            <w:tcW w:w="103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19"/>
              <w:jc w:val="both"/>
            </w:pPr>
            <w:r>
              <w:rPr>
                <w:sz w:val="24"/>
              </w:rPr>
              <w:t xml:space="preserve">1.113,25 </w:t>
            </w:r>
          </w:p>
        </w:tc>
        <w:tc>
          <w:tcPr>
            <w:tcW w:w="114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14"/>
              <w:jc w:val="both"/>
            </w:pPr>
            <w:r>
              <w:rPr>
                <w:sz w:val="24"/>
              </w:rPr>
              <w:t xml:space="preserve">13.359,00 </w:t>
            </w:r>
          </w:p>
        </w:tc>
      </w:tr>
    </w:tbl>
    <w:p w:rsidR="00FA7413" w:rsidRDefault="00D712A8">
      <w:pPr>
        <w:spacing w:after="100"/>
        <w:ind w:left="360"/>
      </w:pPr>
      <w:r>
        <w:rPr>
          <w:rFonts w:ascii="Arial" w:eastAsia="Arial" w:hAnsi="Arial" w:cs="Arial"/>
        </w:rPr>
        <w:t xml:space="preserve"> </w:t>
      </w:r>
    </w:p>
    <w:p w:rsidR="00FA7413" w:rsidRDefault="00D712A8">
      <w:pPr>
        <w:spacing w:after="98"/>
        <w:ind w:left="360"/>
      </w:pPr>
      <w:r>
        <w:rPr>
          <w:noProof/>
        </w:rPr>
        <mc:AlternateContent>
          <mc:Choice Requires="wpg">
            <w:drawing>
              <wp:anchor distT="0" distB="0" distL="114300" distR="114300" simplePos="0" relativeHeight="251826176"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33556" name="Group 233556"/>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20684" name="Rectangle 20684"/>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20685" name="Rectangle 20685"/>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162 de 180 </w:t>
                              </w:r>
                            </w:p>
                          </w:txbxContent>
                        </wps:txbx>
                        <wps:bodyPr horzOverflow="overflow" vert="horz" lIns="0" tIns="0" rIns="0" bIns="0" rtlCol="0">
                          <a:noAutofit/>
                        </wps:bodyPr>
                      </wps:wsp>
                    </wpg:wgp>
                  </a:graphicData>
                </a:graphic>
              </wp:anchor>
            </w:drawing>
          </mc:Choice>
          <mc:Fallback xmlns:a="http://schemas.openxmlformats.org/drawingml/2006/main">
            <w:pict>
              <v:group id="Group 233556" style="width:12.7031pt;height:275.586pt;position:absolute;mso-position-horizontal-relative:page;mso-position-horizontal:absolute;margin-left:682.278pt;mso-position-vertical-relative:page;margin-top:536.334pt;" coordsize="1613,34999">
                <v:rect id="Rectangle 20684"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20685"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162 de 180 </w:t>
                        </w:r>
                      </w:p>
                    </w:txbxContent>
                  </v:textbox>
                </v:rect>
                <w10:wrap type="square"/>
              </v:group>
            </w:pict>
          </mc:Fallback>
        </mc:AlternateContent>
      </w:r>
      <w:r>
        <w:rPr>
          <w:rFonts w:ascii="Arial" w:eastAsia="Arial" w:hAnsi="Arial" w:cs="Arial"/>
        </w:rPr>
        <w:t xml:space="preserve"> </w:t>
      </w:r>
    </w:p>
    <w:p w:rsidR="00FA7413" w:rsidRDefault="00D712A8">
      <w:pPr>
        <w:spacing w:after="100"/>
        <w:ind w:left="360"/>
      </w:pPr>
      <w:r>
        <w:rPr>
          <w:rFonts w:ascii="Arial" w:eastAsia="Arial" w:hAnsi="Arial" w:cs="Arial"/>
        </w:rPr>
        <w:t xml:space="preserve"> </w:t>
      </w:r>
    </w:p>
    <w:p w:rsidR="00FA7413" w:rsidRDefault="00D712A8">
      <w:pPr>
        <w:spacing w:after="122"/>
        <w:ind w:left="360"/>
      </w:pPr>
      <w:r>
        <w:rPr>
          <w:rFonts w:ascii="Arial" w:eastAsia="Arial" w:hAnsi="Arial" w:cs="Arial"/>
        </w:rPr>
        <w:t xml:space="preserve"> </w:t>
      </w:r>
    </w:p>
    <w:p w:rsidR="00FA7413" w:rsidRDefault="00D712A8">
      <w:pPr>
        <w:spacing w:after="0"/>
        <w:ind w:left="495" w:hanging="10"/>
      </w:pPr>
      <w:r>
        <w:rPr>
          <w:b/>
          <w:sz w:val="24"/>
        </w:rPr>
        <w:t>Cantidades mensuales calculadas en base a lo establecid</w:t>
      </w:r>
      <w:r>
        <w:rPr>
          <w:b/>
          <w:sz w:val="24"/>
        </w:rPr>
        <w:t xml:space="preserve">o en las </w:t>
      </w:r>
    </w:p>
    <w:p w:rsidR="00FA7413" w:rsidRDefault="00D712A8">
      <w:pPr>
        <w:tabs>
          <w:tab w:val="center" w:pos="760"/>
          <w:tab w:val="center" w:pos="7875"/>
        </w:tabs>
        <w:spacing w:after="0"/>
      </w:pPr>
      <w:r>
        <w:tab/>
      </w:r>
      <w:r>
        <w:rPr>
          <w:b/>
          <w:sz w:val="24"/>
        </w:rPr>
        <w:t xml:space="preserve">LL.PP </w:t>
      </w:r>
      <w:r>
        <w:rPr>
          <w:b/>
          <w:sz w:val="24"/>
        </w:rPr>
        <w:tab/>
        <w:t xml:space="preserve">totales (*) </w:t>
      </w:r>
    </w:p>
    <w:tbl>
      <w:tblPr>
        <w:tblStyle w:val="TableGrid"/>
        <w:tblW w:w="8366" w:type="dxa"/>
        <w:tblInd w:w="430" w:type="dxa"/>
        <w:tblCellMar>
          <w:top w:w="60" w:type="dxa"/>
          <w:left w:w="70" w:type="dxa"/>
          <w:bottom w:w="0" w:type="dxa"/>
          <w:right w:w="115" w:type="dxa"/>
        </w:tblCellMar>
        <w:tblLook w:val="04A0" w:firstRow="1" w:lastRow="0" w:firstColumn="1" w:lastColumn="0" w:noHBand="0" w:noVBand="1"/>
      </w:tblPr>
      <w:tblGrid>
        <w:gridCol w:w="6522"/>
        <w:gridCol w:w="1844"/>
      </w:tblGrid>
      <w:tr w:rsidR="00FA7413">
        <w:trPr>
          <w:trHeight w:val="310"/>
        </w:trPr>
        <w:tc>
          <w:tcPr>
            <w:tcW w:w="6522"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año 2019 (julio-diciembre) </w:t>
            </w:r>
          </w:p>
        </w:tc>
        <w:tc>
          <w:tcPr>
            <w:tcW w:w="184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46"/>
              <w:jc w:val="center"/>
            </w:pPr>
            <w:r>
              <w:rPr>
                <w:sz w:val="24"/>
              </w:rPr>
              <w:t xml:space="preserve">1.005,06 </w:t>
            </w:r>
          </w:p>
        </w:tc>
      </w:tr>
      <w:tr w:rsidR="00FA7413">
        <w:trPr>
          <w:trHeight w:val="312"/>
        </w:trPr>
        <w:tc>
          <w:tcPr>
            <w:tcW w:w="6522"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año 2020 </w:t>
            </w:r>
          </w:p>
        </w:tc>
        <w:tc>
          <w:tcPr>
            <w:tcW w:w="184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46"/>
              <w:jc w:val="center"/>
            </w:pPr>
            <w:r>
              <w:rPr>
                <w:sz w:val="24"/>
              </w:rPr>
              <w:t xml:space="preserve">1.021,85 </w:t>
            </w:r>
          </w:p>
        </w:tc>
      </w:tr>
      <w:tr w:rsidR="00FA7413">
        <w:trPr>
          <w:trHeight w:val="310"/>
        </w:trPr>
        <w:tc>
          <w:tcPr>
            <w:tcW w:w="6522"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año 2021 </w:t>
            </w:r>
          </w:p>
        </w:tc>
        <w:tc>
          <w:tcPr>
            <w:tcW w:w="184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46"/>
              <w:jc w:val="center"/>
            </w:pPr>
            <w:r>
              <w:rPr>
                <w:sz w:val="24"/>
              </w:rPr>
              <w:t xml:space="preserve">1.028,70 </w:t>
            </w:r>
          </w:p>
        </w:tc>
      </w:tr>
    </w:tbl>
    <w:p w:rsidR="00FA7413" w:rsidRDefault="00D712A8">
      <w:pPr>
        <w:spacing w:after="0"/>
        <w:ind w:left="495" w:hanging="10"/>
      </w:pPr>
      <w:r>
        <w:rPr>
          <w:b/>
          <w:sz w:val="24"/>
        </w:rPr>
        <w:t xml:space="preserve">Cantidades anuales calculadas en base a lo establecido en las </w:t>
      </w:r>
    </w:p>
    <w:p w:rsidR="00FA7413" w:rsidRDefault="00D712A8">
      <w:pPr>
        <w:tabs>
          <w:tab w:val="center" w:pos="760"/>
          <w:tab w:val="center" w:pos="7875"/>
        </w:tabs>
        <w:spacing w:after="0"/>
      </w:pPr>
      <w:r>
        <w:tab/>
      </w:r>
      <w:r>
        <w:rPr>
          <w:b/>
          <w:sz w:val="24"/>
        </w:rPr>
        <w:t xml:space="preserve">LL.PP </w:t>
      </w:r>
      <w:r>
        <w:rPr>
          <w:b/>
          <w:sz w:val="24"/>
        </w:rPr>
        <w:tab/>
        <w:t xml:space="preserve">totales (*) </w:t>
      </w:r>
    </w:p>
    <w:tbl>
      <w:tblPr>
        <w:tblStyle w:val="TableGrid"/>
        <w:tblW w:w="8366" w:type="dxa"/>
        <w:tblInd w:w="430" w:type="dxa"/>
        <w:tblCellMar>
          <w:top w:w="60" w:type="dxa"/>
          <w:left w:w="70" w:type="dxa"/>
          <w:bottom w:w="0" w:type="dxa"/>
          <w:right w:w="115" w:type="dxa"/>
        </w:tblCellMar>
        <w:tblLook w:val="04A0" w:firstRow="1" w:lastRow="0" w:firstColumn="1" w:lastColumn="0" w:noHBand="0" w:noVBand="1"/>
      </w:tblPr>
      <w:tblGrid>
        <w:gridCol w:w="6522"/>
        <w:gridCol w:w="1844"/>
      </w:tblGrid>
      <w:tr w:rsidR="00FA7413">
        <w:trPr>
          <w:trHeight w:val="310"/>
        </w:trPr>
        <w:tc>
          <w:tcPr>
            <w:tcW w:w="6522"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año 2019 (julio-diciembre) </w:t>
            </w:r>
          </w:p>
        </w:tc>
        <w:tc>
          <w:tcPr>
            <w:tcW w:w="184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43"/>
              <w:jc w:val="center"/>
            </w:pPr>
            <w:r>
              <w:rPr>
                <w:sz w:val="24"/>
              </w:rPr>
              <w:t xml:space="preserve">13.983,88 </w:t>
            </w:r>
          </w:p>
        </w:tc>
      </w:tr>
      <w:tr w:rsidR="00FA7413">
        <w:trPr>
          <w:trHeight w:val="310"/>
        </w:trPr>
        <w:tc>
          <w:tcPr>
            <w:tcW w:w="6522"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año 2020 </w:t>
            </w:r>
          </w:p>
        </w:tc>
        <w:tc>
          <w:tcPr>
            <w:tcW w:w="184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43"/>
              <w:jc w:val="center"/>
            </w:pPr>
            <w:r>
              <w:rPr>
                <w:sz w:val="24"/>
              </w:rPr>
              <w:t xml:space="preserve">14.224,48 </w:t>
            </w:r>
          </w:p>
        </w:tc>
      </w:tr>
      <w:tr w:rsidR="00FA7413">
        <w:trPr>
          <w:trHeight w:val="312"/>
        </w:trPr>
        <w:tc>
          <w:tcPr>
            <w:tcW w:w="6522"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año 2021 </w:t>
            </w:r>
          </w:p>
        </w:tc>
        <w:tc>
          <w:tcPr>
            <w:tcW w:w="184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43"/>
              <w:jc w:val="center"/>
            </w:pPr>
            <w:r>
              <w:rPr>
                <w:sz w:val="24"/>
              </w:rPr>
              <w:t xml:space="preserve">14.324,44 </w:t>
            </w:r>
          </w:p>
        </w:tc>
      </w:tr>
    </w:tbl>
    <w:p w:rsidR="00FA7413" w:rsidRDefault="00D712A8">
      <w:pPr>
        <w:spacing w:after="98"/>
        <w:ind w:left="360"/>
      </w:pPr>
      <w:r>
        <w:rPr>
          <w:rFonts w:ascii="Arial" w:eastAsia="Arial" w:hAnsi="Arial" w:cs="Arial"/>
        </w:rPr>
        <w:t xml:space="preserve"> </w:t>
      </w:r>
    </w:p>
    <w:p w:rsidR="00FA7413" w:rsidRDefault="00D712A8">
      <w:pPr>
        <w:spacing w:after="159" w:line="248" w:lineRule="auto"/>
        <w:ind w:left="355" w:right="64" w:hanging="10"/>
        <w:jc w:val="both"/>
      </w:pPr>
      <w:r>
        <w:rPr>
          <w:rFonts w:ascii="Arial" w:eastAsia="Arial" w:hAnsi="Arial" w:cs="Arial"/>
        </w:rPr>
        <w:t>Diferencias salariales entre las cantidades percibidas y las devengadas por aplicación de la estructura salarial indicada en el punto 4º del presente informe y que darán lugar a las cantidades correspondientes a atrasos desde el mes de octubre de 2019 hast</w:t>
      </w:r>
      <w:r>
        <w:rPr>
          <w:rFonts w:ascii="Arial" w:eastAsia="Arial" w:hAnsi="Arial" w:cs="Arial"/>
        </w:rPr>
        <w:t xml:space="preserve">a el mes de marzo de 2021, así como al reconocimiento del abono de cantidades en concepto de CPT a partir de la nómina del mes de octubre de 2021: </w:t>
      </w:r>
    </w:p>
    <w:p w:rsidR="00FA7413" w:rsidRDefault="00D712A8">
      <w:pPr>
        <w:tabs>
          <w:tab w:val="center" w:pos="1613"/>
          <w:tab w:val="center" w:pos="7530"/>
        </w:tabs>
        <w:spacing w:after="0"/>
      </w:pPr>
      <w:r>
        <w:tab/>
      </w:r>
      <w:r>
        <w:rPr>
          <w:b/>
          <w:sz w:val="24"/>
        </w:rPr>
        <w:t xml:space="preserve">Cantidades mensuales </w:t>
      </w:r>
      <w:r>
        <w:rPr>
          <w:b/>
          <w:sz w:val="24"/>
        </w:rPr>
        <w:tab/>
        <w:t xml:space="preserve">CPT </w:t>
      </w:r>
    </w:p>
    <w:tbl>
      <w:tblPr>
        <w:tblStyle w:val="TableGrid"/>
        <w:tblW w:w="7842" w:type="dxa"/>
        <w:tblInd w:w="430" w:type="dxa"/>
        <w:tblCellMar>
          <w:top w:w="60" w:type="dxa"/>
          <w:left w:w="70" w:type="dxa"/>
          <w:bottom w:w="0" w:type="dxa"/>
          <w:right w:w="115" w:type="dxa"/>
        </w:tblCellMar>
        <w:tblLook w:val="04A0" w:firstRow="1" w:lastRow="0" w:firstColumn="1" w:lastColumn="0" w:noHBand="0" w:noVBand="1"/>
      </w:tblPr>
      <w:tblGrid>
        <w:gridCol w:w="6361"/>
        <w:gridCol w:w="1481"/>
      </w:tblGrid>
      <w:tr w:rsidR="00FA7413">
        <w:trPr>
          <w:trHeight w:val="310"/>
        </w:trPr>
        <w:tc>
          <w:tcPr>
            <w:tcW w:w="6361"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año 2021 </w:t>
            </w:r>
          </w:p>
        </w:tc>
        <w:tc>
          <w:tcPr>
            <w:tcW w:w="148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44"/>
              <w:jc w:val="center"/>
            </w:pPr>
            <w:r>
              <w:rPr>
                <w:sz w:val="24"/>
              </w:rPr>
              <w:t xml:space="preserve">84,56 </w:t>
            </w:r>
          </w:p>
        </w:tc>
      </w:tr>
    </w:tbl>
    <w:p w:rsidR="00FA7413" w:rsidRDefault="00D712A8">
      <w:pPr>
        <w:tabs>
          <w:tab w:val="center" w:pos="1466"/>
          <w:tab w:val="center" w:pos="7530"/>
        </w:tabs>
        <w:spacing w:after="0"/>
      </w:pPr>
      <w:r>
        <w:tab/>
      </w:r>
      <w:r>
        <w:rPr>
          <w:b/>
          <w:sz w:val="24"/>
        </w:rPr>
        <w:t xml:space="preserve">Cantidades anuales </w:t>
      </w:r>
      <w:r>
        <w:rPr>
          <w:b/>
          <w:sz w:val="24"/>
        </w:rPr>
        <w:tab/>
        <w:t xml:space="preserve">CPT </w:t>
      </w:r>
    </w:p>
    <w:tbl>
      <w:tblPr>
        <w:tblStyle w:val="TableGrid"/>
        <w:tblW w:w="7842" w:type="dxa"/>
        <w:tblInd w:w="430" w:type="dxa"/>
        <w:tblCellMar>
          <w:top w:w="60" w:type="dxa"/>
          <w:left w:w="70" w:type="dxa"/>
          <w:bottom w:w="0" w:type="dxa"/>
          <w:right w:w="115" w:type="dxa"/>
        </w:tblCellMar>
        <w:tblLook w:val="04A0" w:firstRow="1" w:lastRow="0" w:firstColumn="1" w:lastColumn="0" w:noHBand="0" w:noVBand="1"/>
      </w:tblPr>
      <w:tblGrid>
        <w:gridCol w:w="6361"/>
        <w:gridCol w:w="1481"/>
      </w:tblGrid>
      <w:tr w:rsidR="00FA7413">
        <w:trPr>
          <w:trHeight w:val="312"/>
        </w:trPr>
        <w:tc>
          <w:tcPr>
            <w:tcW w:w="6361"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año 2021 </w:t>
            </w:r>
          </w:p>
        </w:tc>
        <w:tc>
          <w:tcPr>
            <w:tcW w:w="148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44"/>
              <w:jc w:val="center"/>
            </w:pPr>
            <w:r>
              <w:rPr>
                <w:sz w:val="24"/>
              </w:rPr>
              <w:t xml:space="preserve">1.014,66 </w:t>
            </w:r>
          </w:p>
        </w:tc>
      </w:tr>
    </w:tbl>
    <w:p w:rsidR="00FA7413" w:rsidRDefault="00D712A8">
      <w:pPr>
        <w:spacing w:after="95"/>
        <w:ind w:left="360"/>
      </w:pPr>
      <w:r>
        <w:rPr>
          <w:rFonts w:ascii="Arial" w:eastAsia="Arial" w:hAnsi="Arial" w:cs="Arial"/>
        </w:rPr>
        <w:t xml:space="preserve"> </w:t>
      </w:r>
    </w:p>
    <w:p w:rsidR="00FA7413" w:rsidRDefault="00D712A8">
      <w:pPr>
        <w:spacing w:after="159" w:line="248" w:lineRule="auto"/>
        <w:ind w:left="355" w:right="64" w:hanging="10"/>
        <w:jc w:val="both"/>
      </w:pPr>
      <w:r>
        <w:rPr>
          <w:rFonts w:ascii="Arial" w:eastAsia="Arial" w:hAnsi="Arial" w:cs="Arial"/>
          <w:b/>
        </w:rPr>
        <w:t>SEPTIMO</w:t>
      </w:r>
      <w:r>
        <w:rPr>
          <w:rFonts w:ascii="Arial" w:eastAsia="Arial" w:hAnsi="Arial" w:cs="Arial"/>
        </w:rPr>
        <w:t xml:space="preserve">. - </w:t>
      </w:r>
      <w:r>
        <w:rPr>
          <w:rFonts w:ascii="Arial" w:eastAsia="Arial" w:hAnsi="Arial" w:cs="Arial"/>
        </w:rPr>
        <w:t xml:space="preserve">Asimismo, corresponde el reconocimiento al empleado de las cantidades devengadas a partir de la fecha de cálculo de la sentencia indicada (septiembre 2019) hasta el día de la fecha con el cálculo de las cantidades: </w:t>
      </w:r>
    </w:p>
    <w:p w:rsidR="00FA7413" w:rsidRDefault="00D712A8">
      <w:pPr>
        <w:tabs>
          <w:tab w:val="center" w:pos="3014"/>
          <w:tab w:val="center" w:pos="6220"/>
        </w:tabs>
        <w:spacing w:after="0"/>
      </w:pPr>
      <w:r>
        <w:rPr>
          <w:noProof/>
        </w:rPr>
        <mc:AlternateContent>
          <mc:Choice Requires="wpg">
            <w:drawing>
              <wp:anchor distT="0" distB="0" distL="114300" distR="114300" simplePos="0" relativeHeight="251827200"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34685" name="Group 234685"/>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21125" name="Rectangle 21125"/>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Cód. Validación: 946JAL4TJAGYNDDM76ZM</w:t>
                              </w:r>
                              <w:r>
                                <w:rPr>
                                  <w:rFonts w:ascii="Arial" w:eastAsia="Arial" w:hAnsi="Arial" w:cs="Arial"/>
                                  <w:sz w:val="12"/>
                                </w:rPr>
                                <w:t xml:space="preserve">7ZAYZ | Verificación: https://candelaria.sedelectronica.es/ </w:t>
                              </w:r>
                            </w:p>
                          </w:txbxContent>
                        </wps:txbx>
                        <wps:bodyPr horzOverflow="overflow" vert="horz" lIns="0" tIns="0" rIns="0" bIns="0" rtlCol="0">
                          <a:noAutofit/>
                        </wps:bodyPr>
                      </wps:wsp>
                      <wps:wsp>
                        <wps:cNvPr id="21126" name="Rectangle 21126"/>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163 de 180 </w:t>
                              </w:r>
                            </w:p>
                          </w:txbxContent>
                        </wps:txbx>
                        <wps:bodyPr horzOverflow="overflow" vert="horz" lIns="0" tIns="0" rIns="0" bIns="0" rtlCol="0">
                          <a:noAutofit/>
                        </wps:bodyPr>
                      </wps:wsp>
                    </wpg:wgp>
                  </a:graphicData>
                </a:graphic>
              </wp:anchor>
            </w:drawing>
          </mc:Choice>
          <mc:Fallback xmlns:a="http://schemas.openxmlformats.org/drawingml/2006/main">
            <w:pict>
              <v:group id="Group 234685" style="width:12.7031pt;height:275.586pt;position:absolute;mso-position-horizontal-relative:page;mso-position-horizontal:absolute;margin-left:682.278pt;mso-position-vertical-relative:page;margin-top:536.334pt;" coordsize="1613,34999">
                <v:rect id="Rectangle 21125"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21126"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163 de 180 </w:t>
                        </w:r>
                      </w:p>
                    </w:txbxContent>
                  </v:textbox>
                </v:rect>
                <w10:wrap type="square"/>
              </v:group>
            </w:pict>
          </mc:Fallback>
        </mc:AlternateContent>
      </w:r>
      <w:r>
        <w:tab/>
      </w:r>
      <w:r>
        <w:rPr>
          <w:b/>
          <w:sz w:val="24"/>
        </w:rPr>
        <w:t xml:space="preserve">A partir del tramo de sentencia hasta la actualidad </w:t>
      </w:r>
      <w:r>
        <w:rPr>
          <w:b/>
          <w:sz w:val="24"/>
        </w:rPr>
        <w:tab/>
        <w:t xml:space="preserve"> </w:t>
      </w:r>
    </w:p>
    <w:tbl>
      <w:tblPr>
        <w:tblStyle w:val="TableGrid"/>
        <w:tblW w:w="8963" w:type="dxa"/>
        <w:tblInd w:w="430" w:type="dxa"/>
        <w:tblCellMar>
          <w:top w:w="60" w:type="dxa"/>
          <w:left w:w="70" w:type="dxa"/>
          <w:bottom w:w="0" w:type="dxa"/>
          <w:right w:w="18" w:type="dxa"/>
        </w:tblCellMar>
        <w:tblLook w:val="04A0" w:firstRow="1" w:lastRow="0" w:firstColumn="1" w:lastColumn="0" w:noHBand="0" w:noVBand="1"/>
      </w:tblPr>
      <w:tblGrid>
        <w:gridCol w:w="5723"/>
        <w:gridCol w:w="3241"/>
      </w:tblGrid>
      <w:tr w:rsidR="00FA7413">
        <w:trPr>
          <w:trHeight w:val="310"/>
        </w:trPr>
        <w:tc>
          <w:tcPr>
            <w:tcW w:w="572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oct-19 </w:t>
            </w:r>
          </w:p>
        </w:tc>
        <w:tc>
          <w:tcPr>
            <w:tcW w:w="324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331,78 </w:t>
            </w:r>
          </w:p>
        </w:tc>
      </w:tr>
      <w:tr w:rsidR="00FA7413">
        <w:trPr>
          <w:trHeight w:val="312"/>
        </w:trPr>
        <w:tc>
          <w:tcPr>
            <w:tcW w:w="572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nov-19 </w:t>
            </w:r>
          </w:p>
        </w:tc>
        <w:tc>
          <w:tcPr>
            <w:tcW w:w="324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331,78 </w:t>
            </w:r>
          </w:p>
        </w:tc>
      </w:tr>
      <w:tr w:rsidR="00FA7413">
        <w:trPr>
          <w:trHeight w:val="310"/>
        </w:trPr>
        <w:tc>
          <w:tcPr>
            <w:tcW w:w="572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dic-19 </w:t>
            </w:r>
          </w:p>
        </w:tc>
        <w:tc>
          <w:tcPr>
            <w:tcW w:w="324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331,78 </w:t>
            </w:r>
          </w:p>
        </w:tc>
      </w:tr>
      <w:tr w:rsidR="00FA7413">
        <w:trPr>
          <w:trHeight w:val="310"/>
        </w:trPr>
        <w:tc>
          <w:tcPr>
            <w:tcW w:w="572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ene-20 </w:t>
            </w:r>
          </w:p>
        </w:tc>
        <w:tc>
          <w:tcPr>
            <w:tcW w:w="324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331,78 </w:t>
            </w:r>
          </w:p>
        </w:tc>
      </w:tr>
      <w:tr w:rsidR="00FA7413">
        <w:trPr>
          <w:trHeight w:val="310"/>
        </w:trPr>
        <w:tc>
          <w:tcPr>
            <w:tcW w:w="572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feb-20 </w:t>
            </w:r>
          </w:p>
        </w:tc>
        <w:tc>
          <w:tcPr>
            <w:tcW w:w="324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331,78 </w:t>
            </w:r>
          </w:p>
        </w:tc>
      </w:tr>
      <w:tr w:rsidR="00FA7413">
        <w:trPr>
          <w:trHeight w:val="310"/>
        </w:trPr>
        <w:tc>
          <w:tcPr>
            <w:tcW w:w="572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mar-20 </w:t>
            </w:r>
          </w:p>
        </w:tc>
        <w:tc>
          <w:tcPr>
            <w:tcW w:w="324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331,78 </w:t>
            </w:r>
          </w:p>
        </w:tc>
      </w:tr>
      <w:tr w:rsidR="00FA7413">
        <w:trPr>
          <w:trHeight w:val="310"/>
        </w:trPr>
        <w:tc>
          <w:tcPr>
            <w:tcW w:w="572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abr-20 </w:t>
            </w:r>
          </w:p>
        </w:tc>
        <w:tc>
          <w:tcPr>
            <w:tcW w:w="324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331,78 </w:t>
            </w:r>
          </w:p>
        </w:tc>
      </w:tr>
      <w:tr w:rsidR="00FA7413">
        <w:trPr>
          <w:trHeight w:val="312"/>
        </w:trPr>
        <w:tc>
          <w:tcPr>
            <w:tcW w:w="572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may-20 </w:t>
            </w:r>
          </w:p>
        </w:tc>
        <w:tc>
          <w:tcPr>
            <w:tcW w:w="324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331,78 </w:t>
            </w:r>
          </w:p>
        </w:tc>
      </w:tr>
      <w:tr w:rsidR="00FA7413">
        <w:trPr>
          <w:trHeight w:val="310"/>
        </w:trPr>
        <w:tc>
          <w:tcPr>
            <w:tcW w:w="572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jun-20 </w:t>
            </w:r>
          </w:p>
        </w:tc>
        <w:tc>
          <w:tcPr>
            <w:tcW w:w="324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331,78 </w:t>
            </w:r>
          </w:p>
        </w:tc>
      </w:tr>
      <w:tr w:rsidR="00FA7413">
        <w:trPr>
          <w:trHeight w:val="310"/>
        </w:trPr>
        <w:tc>
          <w:tcPr>
            <w:tcW w:w="572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jul-20 </w:t>
            </w:r>
          </w:p>
        </w:tc>
        <w:tc>
          <w:tcPr>
            <w:tcW w:w="324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331,78 </w:t>
            </w:r>
          </w:p>
        </w:tc>
      </w:tr>
      <w:tr w:rsidR="00FA7413">
        <w:trPr>
          <w:trHeight w:val="310"/>
        </w:trPr>
        <w:tc>
          <w:tcPr>
            <w:tcW w:w="572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ago-20 </w:t>
            </w:r>
          </w:p>
        </w:tc>
        <w:tc>
          <w:tcPr>
            <w:tcW w:w="324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331,78 </w:t>
            </w:r>
          </w:p>
        </w:tc>
      </w:tr>
      <w:tr w:rsidR="00FA7413">
        <w:trPr>
          <w:trHeight w:val="310"/>
        </w:trPr>
        <w:tc>
          <w:tcPr>
            <w:tcW w:w="572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sep-20 </w:t>
            </w:r>
          </w:p>
        </w:tc>
        <w:tc>
          <w:tcPr>
            <w:tcW w:w="324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331,78 </w:t>
            </w:r>
          </w:p>
        </w:tc>
      </w:tr>
      <w:tr w:rsidR="00FA7413">
        <w:trPr>
          <w:trHeight w:val="310"/>
        </w:trPr>
        <w:tc>
          <w:tcPr>
            <w:tcW w:w="572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oct-20 </w:t>
            </w:r>
          </w:p>
        </w:tc>
        <w:tc>
          <w:tcPr>
            <w:tcW w:w="324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331,78 </w:t>
            </w:r>
          </w:p>
        </w:tc>
      </w:tr>
      <w:tr w:rsidR="00FA7413">
        <w:trPr>
          <w:trHeight w:val="312"/>
        </w:trPr>
        <w:tc>
          <w:tcPr>
            <w:tcW w:w="572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nov-20 </w:t>
            </w:r>
          </w:p>
        </w:tc>
        <w:tc>
          <w:tcPr>
            <w:tcW w:w="324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331,78 </w:t>
            </w:r>
          </w:p>
        </w:tc>
      </w:tr>
      <w:tr w:rsidR="00FA7413">
        <w:trPr>
          <w:trHeight w:val="310"/>
        </w:trPr>
        <w:tc>
          <w:tcPr>
            <w:tcW w:w="572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dic-20 </w:t>
            </w:r>
          </w:p>
        </w:tc>
        <w:tc>
          <w:tcPr>
            <w:tcW w:w="324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331,78 </w:t>
            </w:r>
          </w:p>
        </w:tc>
      </w:tr>
      <w:tr w:rsidR="00FA7413">
        <w:trPr>
          <w:trHeight w:val="310"/>
        </w:trPr>
        <w:tc>
          <w:tcPr>
            <w:tcW w:w="572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ene-21 </w:t>
            </w:r>
          </w:p>
        </w:tc>
        <w:tc>
          <w:tcPr>
            <w:tcW w:w="324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331,78 </w:t>
            </w:r>
          </w:p>
        </w:tc>
      </w:tr>
      <w:tr w:rsidR="00FA7413">
        <w:trPr>
          <w:trHeight w:val="310"/>
        </w:trPr>
        <w:tc>
          <w:tcPr>
            <w:tcW w:w="572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feb-21 </w:t>
            </w:r>
          </w:p>
        </w:tc>
        <w:tc>
          <w:tcPr>
            <w:tcW w:w="324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331,78 </w:t>
            </w:r>
          </w:p>
        </w:tc>
      </w:tr>
      <w:tr w:rsidR="00FA7413">
        <w:trPr>
          <w:trHeight w:val="310"/>
        </w:trPr>
        <w:tc>
          <w:tcPr>
            <w:tcW w:w="572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mar-21 </w:t>
            </w:r>
          </w:p>
        </w:tc>
        <w:tc>
          <w:tcPr>
            <w:tcW w:w="324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331,78 </w:t>
            </w:r>
          </w:p>
        </w:tc>
      </w:tr>
      <w:tr w:rsidR="00FA7413">
        <w:trPr>
          <w:trHeight w:val="310"/>
        </w:trPr>
        <w:tc>
          <w:tcPr>
            <w:tcW w:w="572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abr-21 </w:t>
            </w:r>
          </w:p>
        </w:tc>
        <w:tc>
          <w:tcPr>
            <w:tcW w:w="324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331,78 </w:t>
            </w:r>
          </w:p>
        </w:tc>
      </w:tr>
      <w:tr w:rsidR="00FA7413">
        <w:trPr>
          <w:trHeight w:val="312"/>
        </w:trPr>
        <w:tc>
          <w:tcPr>
            <w:tcW w:w="5723"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b/>
                <w:sz w:val="24"/>
              </w:rPr>
              <w:t xml:space="preserve">totales </w:t>
            </w:r>
          </w:p>
        </w:tc>
        <w:tc>
          <w:tcPr>
            <w:tcW w:w="324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7"/>
              <w:jc w:val="center"/>
            </w:pPr>
            <w:r>
              <w:rPr>
                <w:b/>
                <w:sz w:val="24"/>
              </w:rPr>
              <w:t xml:space="preserve">6303,82 </w:t>
            </w:r>
          </w:p>
        </w:tc>
      </w:tr>
    </w:tbl>
    <w:p w:rsidR="00FA7413" w:rsidRDefault="00D712A8">
      <w:pPr>
        <w:spacing w:after="95"/>
        <w:ind w:left="360"/>
      </w:pPr>
      <w:r>
        <w:rPr>
          <w:rFonts w:ascii="Arial" w:eastAsia="Arial" w:hAnsi="Arial" w:cs="Arial"/>
        </w:rPr>
        <w:t xml:space="preserve"> </w:t>
      </w:r>
    </w:p>
    <w:p w:rsidR="00FA7413" w:rsidRDefault="00D712A8">
      <w:pPr>
        <w:spacing w:after="109" w:line="248" w:lineRule="auto"/>
        <w:ind w:left="355" w:right="64" w:hanging="10"/>
        <w:jc w:val="both"/>
      </w:pPr>
      <w:r>
        <w:rPr>
          <w:rFonts w:ascii="Arial" w:eastAsia="Arial" w:hAnsi="Arial" w:cs="Arial"/>
          <w:b/>
        </w:rPr>
        <w:t>OCTAVO</w:t>
      </w:r>
      <w:r>
        <w:rPr>
          <w:rFonts w:ascii="Arial" w:eastAsia="Arial" w:hAnsi="Arial" w:cs="Arial"/>
        </w:rPr>
        <w:t xml:space="preserve">. - </w:t>
      </w:r>
      <w:r>
        <w:rPr>
          <w:rFonts w:ascii="Arial" w:eastAsia="Arial" w:hAnsi="Arial" w:cs="Arial"/>
        </w:rPr>
        <w:t>Abonar nóminas correspondientes al período de tiempo comprendido entre el mes de junio de 2017 hasta el mes de marzo de 2021 (de junio 2017 a septiembre de 2019 por aplicación de sentencia) y de octubre de 2019 hasta marzo de 2021 por reconocimiento de der</w:t>
      </w:r>
      <w:r>
        <w:rPr>
          <w:rFonts w:ascii="Arial" w:eastAsia="Arial" w:hAnsi="Arial" w:cs="Arial"/>
        </w:rPr>
        <w:t xml:space="preserve">echo económico de tracto sucesivo. </w:t>
      </w:r>
    </w:p>
    <w:p w:rsidR="00FA7413" w:rsidRDefault="00D712A8">
      <w:pPr>
        <w:spacing w:after="11" w:line="248" w:lineRule="auto"/>
        <w:ind w:left="355" w:right="64" w:hanging="10"/>
        <w:jc w:val="both"/>
      </w:pPr>
      <w:r>
        <w:rPr>
          <w:rFonts w:ascii="Arial" w:eastAsia="Arial" w:hAnsi="Arial" w:cs="Arial"/>
        </w:rPr>
        <w:t xml:space="preserve">Se generan remesas de revalorización en aplicativo de gestión de nóminas que se indican: </w:t>
      </w:r>
    </w:p>
    <w:tbl>
      <w:tblPr>
        <w:tblStyle w:val="TableGrid"/>
        <w:tblW w:w="8474" w:type="dxa"/>
        <w:tblInd w:w="365" w:type="dxa"/>
        <w:tblCellMar>
          <w:top w:w="9" w:type="dxa"/>
          <w:left w:w="106" w:type="dxa"/>
          <w:bottom w:w="0" w:type="dxa"/>
          <w:right w:w="115" w:type="dxa"/>
        </w:tblCellMar>
        <w:tblLook w:val="04A0" w:firstRow="1" w:lastRow="0" w:firstColumn="1" w:lastColumn="0" w:noHBand="0" w:noVBand="1"/>
      </w:tblPr>
      <w:tblGrid>
        <w:gridCol w:w="2883"/>
        <w:gridCol w:w="5591"/>
      </w:tblGrid>
      <w:tr w:rsidR="00FA7413">
        <w:trPr>
          <w:trHeight w:val="384"/>
        </w:trPr>
        <w:tc>
          <w:tcPr>
            <w:tcW w:w="288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2"/>
            </w:pPr>
            <w:r>
              <w:rPr>
                <w:rFonts w:ascii="Arial" w:eastAsia="Arial" w:hAnsi="Arial" w:cs="Arial"/>
              </w:rPr>
              <w:t xml:space="preserve">Remesa </w:t>
            </w:r>
          </w:p>
        </w:tc>
        <w:tc>
          <w:tcPr>
            <w:tcW w:w="5591"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rFonts w:ascii="Arial" w:eastAsia="Arial" w:hAnsi="Arial" w:cs="Arial"/>
              </w:rPr>
              <w:t xml:space="preserve">Concepto </w:t>
            </w:r>
          </w:p>
        </w:tc>
      </w:tr>
      <w:tr w:rsidR="00FA7413">
        <w:trPr>
          <w:trHeight w:val="382"/>
        </w:trPr>
        <w:tc>
          <w:tcPr>
            <w:tcW w:w="288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2"/>
            </w:pPr>
            <w:r>
              <w:rPr>
                <w:rFonts w:ascii="Arial" w:eastAsia="Arial" w:hAnsi="Arial" w:cs="Arial"/>
              </w:rPr>
              <w:t xml:space="preserve">445 </w:t>
            </w:r>
          </w:p>
        </w:tc>
        <w:tc>
          <w:tcPr>
            <w:tcW w:w="5591"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rFonts w:ascii="Arial" w:eastAsia="Arial" w:hAnsi="Arial" w:cs="Arial"/>
              </w:rPr>
              <w:t xml:space="preserve">2017 EZEQUIEL DIBELO CASE (SENTENCIA) </w:t>
            </w:r>
          </w:p>
        </w:tc>
      </w:tr>
      <w:tr w:rsidR="00FA7413">
        <w:trPr>
          <w:trHeight w:val="384"/>
        </w:trPr>
        <w:tc>
          <w:tcPr>
            <w:tcW w:w="288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2"/>
            </w:pPr>
            <w:r>
              <w:rPr>
                <w:rFonts w:ascii="Arial" w:eastAsia="Arial" w:hAnsi="Arial" w:cs="Arial"/>
              </w:rPr>
              <w:t xml:space="preserve">446 </w:t>
            </w:r>
          </w:p>
        </w:tc>
        <w:tc>
          <w:tcPr>
            <w:tcW w:w="5591"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rFonts w:ascii="Arial" w:eastAsia="Arial" w:hAnsi="Arial" w:cs="Arial"/>
              </w:rPr>
              <w:t xml:space="preserve">2018 EZEQUIEL DIBELO CASE (SENTENCIA) </w:t>
            </w:r>
          </w:p>
        </w:tc>
      </w:tr>
      <w:tr w:rsidR="00FA7413">
        <w:trPr>
          <w:trHeight w:val="382"/>
        </w:trPr>
        <w:tc>
          <w:tcPr>
            <w:tcW w:w="288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2"/>
            </w:pPr>
            <w:r>
              <w:rPr>
                <w:rFonts w:ascii="Arial" w:eastAsia="Arial" w:hAnsi="Arial" w:cs="Arial"/>
              </w:rPr>
              <w:t xml:space="preserve">447 </w:t>
            </w:r>
          </w:p>
        </w:tc>
        <w:tc>
          <w:tcPr>
            <w:tcW w:w="5591"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rFonts w:ascii="Arial" w:eastAsia="Arial" w:hAnsi="Arial" w:cs="Arial"/>
              </w:rPr>
              <w:t xml:space="preserve">2019 EZEQUIEL DIBELO CASE (SENTENCIA) </w:t>
            </w:r>
          </w:p>
        </w:tc>
      </w:tr>
      <w:tr w:rsidR="00FA7413">
        <w:trPr>
          <w:trHeight w:val="384"/>
        </w:trPr>
        <w:tc>
          <w:tcPr>
            <w:tcW w:w="288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2"/>
            </w:pPr>
            <w:r>
              <w:rPr>
                <w:rFonts w:ascii="Arial" w:eastAsia="Arial" w:hAnsi="Arial" w:cs="Arial"/>
              </w:rPr>
              <w:t xml:space="preserve">448 </w:t>
            </w:r>
          </w:p>
        </w:tc>
        <w:tc>
          <w:tcPr>
            <w:tcW w:w="5591"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rFonts w:ascii="Arial" w:eastAsia="Arial" w:hAnsi="Arial" w:cs="Arial"/>
              </w:rPr>
              <w:t xml:space="preserve">2020 EZEQUIEL DIBELO CASE (SENTENCIA) </w:t>
            </w:r>
          </w:p>
        </w:tc>
      </w:tr>
      <w:tr w:rsidR="00FA7413">
        <w:trPr>
          <w:trHeight w:val="384"/>
        </w:trPr>
        <w:tc>
          <w:tcPr>
            <w:tcW w:w="288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2"/>
            </w:pPr>
            <w:r>
              <w:rPr>
                <w:rFonts w:ascii="Arial" w:eastAsia="Arial" w:hAnsi="Arial" w:cs="Arial"/>
              </w:rPr>
              <w:t xml:space="preserve">449 </w:t>
            </w:r>
          </w:p>
        </w:tc>
        <w:tc>
          <w:tcPr>
            <w:tcW w:w="5591"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rFonts w:ascii="Arial" w:eastAsia="Arial" w:hAnsi="Arial" w:cs="Arial"/>
              </w:rPr>
              <w:t xml:space="preserve">2021 EZEQUIEL DIBELO CASE (SENTENCIA) </w:t>
            </w:r>
          </w:p>
        </w:tc>
      </w:tr>
    </w:tbl>
    <w:p w:rsidR="00FA7413" w:rsidRDefault="00D712A8">
      <w:pPr>
        <w:spacing w:after="95"/>
        <w:ind w:left="360"/>
      </w:pPr>
      <w:r>
        <w:rPr>
          <w:rFonts w:ascii="Arial" w:eastAsia="Arial" w:hAnsi="Arial" w:cs="Arial"/>
        </w:rPr>
        <w:t xml:space="preserve"> </w:t>
      </w:r>
    </w:p>
    <w:p w:rsidR="00FA7413" w:rsidRDefault="00D712A8">
      <w:pPr>
        <w:spacing w:after="109" w:line="248" w:lineRule="auto"/>
        <w:ind w:left="355" w:right="64" w:hanging="10"/>
        <w:jc w:val="both"/>
      </w:pPr>
      <w:r>
        <w:rPr>
          <w:rFonts w:ascii="Arial" w:eastAsia="Arial" w:hAnsi="Arial" w:cs="Arial"/>
          <w:b/>
        </w:rPr>
        <w:t>NOVENO</w:t>
      </w:r>
      <w:r>
        <w:rPr>
          <w:rFonts w:ascii="Arial" w:eastAsia="Arial" w:hAnsi="Arial" w:cs="Arial"/>
        </w:rPr>
        <w:t xml:space="preserve">. - </w:t>
      </w:r>
      <w:r>
        <w:rPr>
          <w:rFonts w:ascii="Arial" w:eastAsia="Arial" w:hAnsi="Arial" w:cs="Arial"/>
        </w:rPr>
        <w:t xml:space="preserve">Aprobar y ordenar el pago de las nóminas generadas entre el mes de junio de 2017 y abril de 2021 (según sentencia del Juzgado de lo Social número 6 de Santa Cruz de Tenerife) </w:t>
      </w:r>
    </w:p>
    <w:p w:rsidR="00FA7413" w:rsidRDefault="00D712A8">
      <w:pPr>
        <w:spacing w:after="96"/>
        <w:ind w:left="360"/>
      </w:pPr>
      <w:r>
        <w:rPr>
          <w:rFonts w:ascii="Arial" w:eastAsia="Arial" w:hAnsi="Arial" w:cs="Arial"/>
        </w:rPr>
        <w:t xml:space="preserve"> </w:t>
      </w:r>
    </w:p>
    <w:p w:rsidR="00FA7413" w:rsidRDefault="00D712A8">
      <w:pPr>
        <w:spacing w:after="47"/>
        <w:ind w:right="1058"/>
        <w:jc w:val="right"/>
      </w:pPr>
      <w:r>
        <w:rPr>
          <w:noProof/>
        </w:rPr>
        <w:drawing>
          <wp:inline distT="0" distB="0" distL="0" distR="0">
            <wp:extent cx="5401057" cy="1386840"/>
            <wp:effectExtent l="0" t="0" r="0" b="0"/>
            <wp:docPr id="21763" name="Picture 21763"/>
            <wp:cNvGraphicFramePr/>
            <a:graphic xmlns:a="http://schemas.openxmlformats.org/drawingml/2006/main">
              <a:graphicData uri="http://schemas.openxmlformats.org/drawingml/2006/picture">
                <pic:pic xmlns:pic="http://schemas.openxmlformats.org/drawingml/2006/picture">
                  <pic:nvPicPr>
                    <pic:cNvPr id="21763" name="Picture 21763"/>
                    <pic:cNvPicPr/>
                  </pic:nvPicPr>
                  <pic:blipFill>
                    <a:blip r:embed="rId46"/>
                    <a:stretch>
                      <a:fillRect/>
                    </a:stretch>
                  </pic:blipFill>
                  <pic:spPr>
                    <a:xfrm>
                      <a:off x="0" y="0"/>
                      <a:ext cx="5401057" cy="1386840"/>
                    </a:xfrm>
                    <a:prstGeom prst="rect">
                      <a:avLst/>
                    </a:prstGeom>
                  </pic:spPr>
                </pic:pic>
              </a:graphicData>
            </a:graphic>
          </wp:inline>
        </w:drawing>
      </w:r>
      <w:r>
        <w:rPr>
          <w:rFonts w:ascii="Arial" w:eastAsia="Arial" w:hAnsi="Arial" w:cs="Arial"/>
        </w:rPr>
        <w:t xml:space="preserve"> </w:t>
      </w:r>
    </w:p>
    <w:p w:rsidR="00FA7413" w:rsidRDefault="00D712A8">
      <w:pPr>
        <w:spacing w:after="109" w:line="248" w:lineRule="auto"/>
        <w:ind w:left="355" w:right="64" w:hanging="10"/>
        <w:jc w:val="both"/>
      </w:pPr>
      <w:r>
        <w:rPr>
          <w:noProof/>
        </w:rPr>
        <mc:AlternateContent>
          <mc:Choice Requires="wpg">
            <w:drawing>
              <wp:anchor distT="0" distB="0" distL="114300" distR="114300" simplePos="0" relativeHeight="251828224" behindDoc="0" locked="0" layoutInCell="1" allowOverlap="1">
                <wp:simplePos x="0" y="0"/>
                <wp:positionH relativeFrom="page">
                  <wp:posOffset>8664935</wp:posOffset>
                </wp:positionH>
                <wp:positionV relativeFrom="page">
                  <wp:posOffset>6811442</wp:posOffset>
                </wp:positionV>
                <wp:extent cx="161330" cy="3499942"/>
                <wp:effectExtent l="0" t="0" r="0" b="0"/>
                <wp:wrapTopAndBottom/>
                <wp:docPr id="236998" name="Group 236998"/>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21766" name="Rectangle 21766"/>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21767" name="Rectangle 21767"/>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164 de 180 </w:t>
                              </w:r>
                            </w:p>
                          </w:txbxContent>
                        </wps:txbx>
                        <wps:bodyPr horzOverflow="overflow" vert="horz" lIns="0" tIns="0" rIns="0" bIns="0" rtlCol="0">
                          <a:noAutofit/>
                        </wps:bodyPr>
                      </wps:wsp>
                    </wpg:wgp>
                  </a:graphicData>
                </a:graphic>
              </wp:anchor>
            </w:drawing>
          </mc:Choice>
          <mc:Fallback xmlns:a="http://schemas.openxmlformats.org/drawingml/2006/main">
            <w:pict>
              <v:group id="Group 236998" style="width:12.7031pt;height:275.586pt;position:absolute;mso-position-horizontal-relative:page;mso-position-horizontal:absolute;margin-left:682.278pt;mso-position-vertical-relative:page;margin-top:536.334pt;" coordsize="1613,34999">
                <v:rect id="Rectangle 21766"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21767"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164 de 180 </w:t>
                        </w:r>
                      </w:p>
                    </w:txbxContent>
                  </v:textbox>
                </v:rect>
                <w10:wrap type="topAndBottom"/>
              </v:group>
            </w:pict>
          </mc:Fallback>
        </mc:AlternateContent>
      </w:r>
      <w:r>
        <w:rPr>
          <w:rFonts w:ascii="Arial" w:eastAsia="Arial" w:hAnsi="Arial" w:cs="Arial"/>
          <w:b/>
          <w:u w:val="single" w:color="000000"/>
        </w:rPr>
        <w:t>DÉCIMO</w:t>
      </w:r>
      <w:r>
        <w:rPr>
          <w:rFonts w:ascii="Arial" w:eastAsia="Arial" w:hAnsi="Arial" w:cs="Arial"/>
        </w:rPr>
        <w:t xml:space="preserve">. - Las cantidades a percibir por el empleado entre el </w:t>
      </w:r>
      <w:r>
        <w:rPr>
          <w:rFonts w:ascii="Arial" w:eastAsia="Arial" w:hAnsi="Arial" w:cs="Arial"/>
        </w:rPr>
        <w:t xml:space="preserve">mes de mayo y diciembre de 2021, con la nueva estructura retributiva sería las que se indican a continuación: </w:t>
      </w:r>
    </w:p>
    <w:p w:rsidR="00FA7413" w:rsidRDefault="00D712A8">
      <w:pPr>
        <w:spacing w:after="140"/>
        <w:ind w:left="360"/>
      </w:pPr>
      <w:r>
        <w:rPr>
          <w:rFonts w:ascii="Arial" w:eastAsia="Arial" w:hAnsi="Arial" w:cs="Arial"/>
          <w:b/>
        </w:rPr>
        <w:t xml:space="preserve"> </w:t>
      </w:r>
    </w:p>
    <w:p w:rsidR="00FA7413" w:rsidRDefault="00D712A8">
      <w:pPr>
        <w:tabs>
          <w:tab w:val="center" w:pos="2240"/>
          <w:tab w:val="center" w:pos="7259"/>
        </w:tabs>
        <w:spacing w:after="0"/>
      </w:pPr>
      <w:r>
        <w:tab/>
      </w:r>
      <w:r>
        <w:rPr>
          <w:sz w:val="24"/>
        </w:rPr>
        <w:t xml:space="preserve">Estimación retribuciones de mayo a </w:t>
      </w:r>
      <w:r>
        <w:rPr>
          <w:sz w:val="24"/>
        </w:rPr>
        <w:tab/>
      </w:r>
      <w:r>
        <w:rPr>
          <w:b/>
          <w:sz w:val="24"/>
        </w:rPr>
        <w:t xml:space="preserve">Pagas junio Paga Dic. </w:t>
      </w:r>
    </w:p>
    <w:p w:rsidR="00FA7413" w:rsidRDefault="00D712A8">
      <w:pPr>
        <w:tabs>
          <w:tab w:val="center" w:pos="1259"/>
          <w:tab w:val="center" w:pos="4683"/>
          <w:tab w:val="center" w:pos="5615"/>
          <w:tab w:val="center" w:pos="6719"/>
          <w:tab w:val="center" w:pos="7914"/>
          <w:tab w:val="center" w:pos="8882"/>
        </w:tabs>
        <w:spacing w:after="0"/>
      </w:pPr>
      <w:r>
        <w:tab/>
      </w:r>
      <w:r>
        <w:rPr>
          <w:sz w:val="24"/>
        </w:rPr>
        <w:t xml:space="preserve">diciembre 2021 </w:t>
      </w:r>
      <w:r>
        <w:rPr>
          <w:sz w:val="24"/>
        </w:rPr>
        <w:tab/>
      </w:r>
      <w:r>
        <w:rPr>
          <w:b/>
          <w:sz w:val="24"/>
        </w:rPr>
        <w:t xml:space="preserve">SB C1 </w:t>
      </w:r>
      <w:r>
        <w:rPr>
          <w:b/>
          <w:sz w:val="24"/>
        </w:rPr>
        <w:tab/>
        <w:t xml:space="preserve">Ant. C1 </w:t>
      </w:r>
      <w:r>
        <w:rPr>
          <w:b/>
          <w:sz w:val="24"/>
        </w:rPr>
        <w:tab/>
        <w:t xml:space="preserve">C1 </w:t>
      </w:r>
      <w:r>
        <w:rPr>
          <w:b/>
          <w:sz w:val="24"/>
        </w:rPr>
        <w:tab/>
        <w:t xml:space="preserve">C1 </w:t>
      </w:r>
      <w:r>
        <w:rPr>
          <w:b/>
          <w:sz w:val="24"/>
        </w:rPr>
        <w:tab/>
        <w:t xml:space="preserve">CPT </w:t>
      </w:r>
    </w:p>
    <w:tbl>
      <w:tblPr>
        <w:tblStyle w:val="TableGrid"/>
        <w:tblW w:w="8858" w:type="dxa"/>
        <w:tblInd w:w="430" w:type="dxa"/>
        <w:tblCellMar>
          <w:top w:w="60" w:type="dxa"/>
          <w:left w:w="70" w:type="dxa"/>
          <w:bottom w:w="0" w:type="dxa"/>
          <w:right w:w="15" w:type="dxa"/>
        </w:tblCellMar>
        <w:tblLook w:val="04A0" w:firstRow="1" w:lastRow="0" w:firstColumn="1" w:lastColumn="0" w:noHBand="0" w:noVBand="1"/>
      </w:tblPr>
      <w:tblGrid>
        <w:gridCol w:w="3788"/>
        <w:gridCol w:w="931"/>
        <w:gridCol w:w="934"/>
        <w:gridCol w:w="1274"/>
        <w:gridCol w:w="1119"/>
        <w:gridCol w:w="811"/>
      </w:tblGrid>
      <w:tr w:rsidR="00FA7413">
        <w:trPr>
          <w:trHeight w:val="312"/>
        </w:trPr>
        <w:tc>
          <w:tcPr>
            <w:tcW w:w="3788"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mayo </w:t>
            </w:r>
          </w:p>
        </w:tc>
        <w:tc>
          <w:tcPr>
            <w:tcW w:w="93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62"/>
            </w:pPr>
            <w:r>
              <w:rPr>
                <w:sz w:val="24"/>
              </w:rPr>
              <w:t xml:space="preserve">788,42 </w:t>
            </w:r>
          </w:p>
        </w:tc>
        <w:tc>
          <w:tcPr>
            <w:tcW w:w="93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62"/>
            </w:pPr>
            <w:r>
              <w:rPr>
                <w:sz w:val="24"/>
              </w:rPr>
              <w:t xml:space="preserve">144,25 </w:t>
            </w:r>
          </w:p>
        </w:tc>
        <w:tc>
          <w:tcPr>
            <w:tcW w:w="127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center"/>
            </w:pPr>
            <w:r>
              <w:rPr>
                <w:sz w:val="24"/>
              </w:rPr>
              <w:t xml:space="preserve">130,52 </w:t>
            </w:r>
          </w:p>
        </w:tc>
        <w:tc>
          <w:tcPr>
            <w:tcW w:w="111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8"/>
              <w:jc w:val="center"/>
            </w:pPr>
            <w:r>
              <w:rPr>
                <w:sz w:val="24"/>
              </w:rPr>
              <w:t xml:space="preserve">130,52 </w:t>
            </w:r>
          </w:p>
        </w:tc>
        <w:tc>
          <w:tcPr>
            <w:tcW w:w="81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62"/>
            </w:pPr>
            <w:r>
              <w:rPr>
                <w:sz w:val="24"/>
              </w:rPr>
              <w:t xml:space="preserve">84,56 </w:t>
            </w:r>
          </w:p>
        </w:tc>
      </w:tr>
      <w:tr w:rsidR="00FA7413">
        <w:trPr>
          <w:trHeight w:val="310"/>
        </w:trPr>
        <w:tc>
          <w:tcPr>
            <w:tcW w:w="3788"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junio </w:t>
            </w:r>
          </w:p>
        </w:tc>
        <w:tc>
          <w:tcPr>
            <w:tcW w:w="93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62"/>
            </w:pPr>
            <w:r>
              <w:rPr>
                <w:sz w:val="24"/>
              </w:rPr>
              <w:t xml:space="preserve">788,42 </w:t>
            </w:r>
          </w:p>
        </w:tc>
        <w:tc>
          <w:tcPr>
            <w:tcW w:w="93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62"/>
            </w:pPr>
            <w:r>
              <w:rPr>
                <w:sz w:val="24"/>
              </w:rPr>
              <w:t xml:space="preserve">144,25 </w:t>
            </w:r>
          </w:p>
        </w:tc>
        <w:tc>
          <w:tcPr>
            <w:tcW w:w="127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center"/>
            </w:pPr>
            <w:r>
              <w:rPr>
                <w:sz w:val="24"/>
              </w:rPr>
              <w:t xml:space="preserve">130,52 </w:t>
            </w:r>
          </w:p>
        </w:tc>
        <w:tc>
          <w:tcPr>
            <w:tcW w:w="111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8"/>
              <w:jc w:val="center"/>
            </w:pPr>
            <w:r>
              <w:rPr>
                <w:sz w:val="24"/>
              </w:rPr>
              <w:t xml:space="preserve">130,52 </w:t>
            </w:r>
          </w:p>
        </w:tc>
        <w:tc>
          <w:tcPr>
            <w:tcW w:w="81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62"/>
            </w:pPr>
            <w:r>
              <w:rPr>
                <w:sz w:val="24"/>
              </w:rPr>
              <w:t xml:space="preserve">84,52 </w:t>
            </w:r>
          </w:p>
        </w:tc>
      </w:tr>
      <w:tr w:rsidR="00FA7413">
        <w:trPr>
          <w:trHeight w:val="310"/>
        </w:trPr>
        <w:tc>
          <w:tcPr>
            <w:tcW w:w="3788"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julio </w:t>
            </w:r>
          </w:p>
        </w:tc>
        <w:tc>
          <w:tcPr>
            <w:tcW w:w="93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62"/>
            </w:pPr>
            <w:r>
              <w:rPr>
                <w:sz w:val="24"/>
              </w:rPr>
              <w:t xml:space="preserve">788,42 </w:t>
            </w:r>
          </w:p>
        </w:tc>
        <w:tc>
          <w:tcPr>
            <w:tcW w:w="93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62"/>
            </w:pPr>
            <w:r>
              <w:rPr>
                <w:sz w:val="24"/>
              </w:rPr>
              <w:t xml:space="preserve">144,25 </w:t>
            </w:r>
          </w:p>
        </w:tc>
        <w:tc>
          <w:tcPr>
            <w:tcW w:w="127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center"/>
            </w:pPr>
            <w:r>
              <w:rPr>
                <w:sz w:val="24"/>
              </w:rPr>
              <w:t xml:space="preserve">130,52 </w:t>
            </w:r>
          </w:p>
        </w:tc>
        <w:tc>
          <w:tcPr>
            <w:tcW w:w="111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8"/>
              <w:jc w:val="center"/>
            </w:pPr>
            <w:r>
              <w:rPr>
                <w:sz w:val="24"/>
              </w:rPr>
              <w:t xml:space="preserve">130,52 </w:t>
            </w:r>
          </w:p>
        </w:tc>
        <w:tc>
          <w:tcPr>
            <w:tcW w:w="81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62"/>
            </w:pPr>
            <w:r>
              <w:rPr>
                <w:sz w:val="24"/>
              </w:rPr>
              <w:t xml:space="preserve">84,52 </w:t>
            </w:r>
          </w:p>
        </w:tc>
      </w:tr>
      <w:tr w:rsidR="00FA7413">
        <w:trPr>
          <w:trHeight w:val="310"/>
        </w:trPr>
        <w:tc>
          <w:tcPr>
            <w:tcW w:w="3788"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agosto </w:t>
            </w:r>
          </w:p>
        </w:tc>
        <w:tc>
          <w:tcPr>
            <w:tcW w:w="93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62"/>
            </w:pPr>
            <w:r>
              <w:rPr>
                <w:sz w:val="24"/>
              </w:rPr>
              <w:t xml:space="preserve">788,42 </w:t>
            </w:r>
          </w:p>
        </w:tc>
        <w:tc>
          <w:tcPr>
            <w:tcW w:w="93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62"/>
            </w:pPr>
            <w:r>
              <w:rPr>
                <w:sz w:val="24"/>
              </w:rPr>
              <w:t xml:space="preserve">144,25 </w:t>
            </w:r>
          </w:p>
        </w:tc>
        <w:tc>
          <w:tcPr>
            <w:tcW w:w="127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center"/>
            </w:pPr>
            <w:r>
              <w:rPr>
                <w:sz w:val="24"/>
              </w:rPr>
              <w:t xml:space="preserve">130,52 </w:t>
            </w:r>
          </w:p>
        </w:tc>
        <w:tc>
          <w:tcPr>
            <w:tcW w:w="111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8"/>
              <w:jc w:val="center"/>
            </w:pPr>
            <w:r>
              <w:rPr>
                <w:sz w:val="24"/>
              </w:rPr>
              <w:t xml:space="preserve">130,52 </w:t>
            </w:r>
          </w:p>
        </w:tc>
        <w:tc>
          <w:tcPr>
            <w:tcW w:w="81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62"/>
            </w:pPr>
            <w:r>
              <w:rPr>
                <w:sz w:val="24"/>
              </w:rPr>
              <w:t xml:space="preserve">84,52 </w:t>
            </w:r>
          </w:p>
        </w:tc>
      </w:tr>
      <w:tr w:rsidR="00FA7413">
        <w:trPr>
          <w:trHeight w:val="310"/>
        </w:trPr>
        <w:tc>
          <w:tcPr>
            <w:tcW w:w="3788"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septiembre </w:t>
            </w:r>
          </w:p>
        </w:tc>
        <w:tc>
          <w:tcPr>
            <w:tcW w:w="93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62"/>
            </w:pPr>
            <w:r>
              <w:rPr>
                <w:sz w:val="24"/>
              </w:rPr>
              <w:t xml:space="preserve">788,42 </w:t>
            </w:r>
          </w:p>
        </w:tc>
        <w:tc>
          <w:tcPr>
            <w:tcW w:w="93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62"/>
            </w:pPr>
            <w:r>
              <w:rPr>
                <w:sz w:val="24"/>
              </w:rPr>
              <w:t xml:space="preserve">144,25 </w:t>
            </w:r>
          </w:p>
        </w:tc>
        <w:tc>
          <w:tcPr>
            <w:tcW w:w="127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center"/>
            </w:pPr>
            <w:r>
              <w:rPr>
                <w:sz w:val="24"/>
              </w:rPr>
              <w:t xml:space="preserve">130,52 </w:t>
            </w:r>
          </w:p>
        </w:tc>
        <w:tc>
          <w:tcPr>
            <w:tcW w:w="111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8"/>
              <w:jc w:val="center"/>
            </w:pPr>
            <w:r>
              <w:rPr>
                <w:sz w:val="24"/>
              </w:rPr>
              <w:t xml:space="preserve">130,52 </w:t>
            </w:r>
          </w:p>
        </w:tc>
        <w:tc>
          <w:tcPr>
            <w:tcW w:w="81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62"/>
            </w:pPr>
            <w:r>
              <w:rPr>
                <w:sz w:val="24"/>
              </w:rPr>
              <w:t xml:space="preserve">84,52 </w:t>
            </w:r>
          </w:p>
        </w:tc>
      </w:tr>
      <w:tr w:rsidR="00FA7413">
        <w:trPr>
          <w:trHeight w:val="310"/>
        </w:trPr>
        <w:tc>
          <w:tcPr>
            <w:tcW w:w="3788"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octubre </w:t>
            </w:r>
          </w:p>
        </w:tc>
        <w:tc>
          <w:tcPr>
            <w:tcW w:w="93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62"/>
            </w:pPr>
            <w:r>
              <w:rPr>
                <w:sz w:val="24"/>
              </w:rPr>
              <w:t xml:space="preserve">788,42 </w:t>
            </w:r>
          </w:p>
        </w:tc>
        <w:tc>
          <w:tcPr>
            <w:tcW w:w="93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122"/>
            </w:pPr>
            <w:r>
              <w:rPr>
                <w:sz w:val="24"/>
              </w:rPr>
              <w:t xml:space="preserve">173,1 </w:t>
            </w:r>
          </w:p>
        </w:tc>
        <w:tc>
          <w:tcPr>
            <w:tcW w:w="127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center"/>
            </w:pPr>
            <w:r>
              <w:rPr>
                <w:sz w:val="24"/>
              </w:rPr>
              <w:t xml:space="preserve">130,52 </w:t>
            </w:r>
          </w:p>
        </w:tc>
        <w:tc>
          <w:tcPr>
            <w:tcW w:w="111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8"/>
              <w:jc w:val="center"/>
            </w:pPr>
            <w:r>
              <w:rPr>
                <w:sz w:val="24"/>
              </w:rPr>
              <w:t xml:space="preserve">130,52 </w:t>
            </w:r>
          </w:p>
        </w:tc>
        <w:tc>
          <w:tcPr>
            <w:tcW w:w="81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62"/>
            </w:pPr>
            <w:r>
              <w:rPr>
                <w:sz w:val="24"/>
              </w:rPr>
              <w:t xml:space="preserve">84,52 </w:t>
            </w:r>
          </w:p>
        </w:tc>
      </w:tr>
      <w:tr w:rsidR="00FA7413">
        <w:trPr>
          <w:trHeight w:val="312"/>
        </w:trPr>
        <w:tc>
          <w:tcPr>
            <w:tcW w:w="3788"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noviembre </w:t>
            </w:r>
          </w:p>
        </w:tc>
        <w:tc>
          <w:tcPr>
            <w:tcW w:w="93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62"/>
            </w:pPr>
            <w:r>
              <w:rPr>
                <w:sz w:val="24"/>
              </w:rPr>
              <w:t xml:space="preserve">788,42 </w:t>
            </w:r>
          </w:p>
        </w:tc>
        <w:tc>
          <w:tcPr>
            <w:tcW w:w="93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122"/>
            </w:pPr>
            <w:r>
              <w:rPr>
                <w:sz w:val="24"/>
              </w:rPr>
              <w:t xml:space="preserve">173,1 </w:t>
            </w:r>
          </w:p>
        </w:tc>
        <w:tc>
          <w:tcPr>
            <w:tcW w:w="127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center"/>
            </w:pPr>
            <w:r>
              <w:rPr>
                <w:sz w:val="24"/>
              </w:rPr>
              <w:t xml:space="preserve">130,52 </w:t>
            </w:r>
          </w:p>
        </w:tc>
        <w:tc>
          <w:tcPr>
            <w:tcW w:w="111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8"/>
              <w:jc w:val="center"/>
            </w:pPr>
            <w:r>
              <w:rPr>
                <w:sz w:val="24"/>
              </w:rPr>
              <w:t xml:space="preserve">130,52 </w:t>
            </w:r>
          </w:p>
        </w:tc>
        <w:tc>
          <w:tcPr>
            <w:tcW w:w="81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62"/>
            </w:pPr>
            <w:r>
              <w:rPr>
                <w:sz w:val="24"/>
              </w:rPr>
              <w:t xml:space="preserve">84,52 </w:t>
            </w:r>
          </w:p>
        </w:tc>
      </w:tr>
      <w:tr w:rsidR="00FA7413">
        <w:trPr>
          <w:trHeight w:val="310"/>
        </w:trPr>
        <w:tc>
          <w:tcPr>
            <w:tcW w:w="3788"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diciembre </w:t>
            </w:r>
          </w:p>
        </w:tc>
        <w:tc>
          <w:tcPr>
            <w:tcW w:w="93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62"/>
            </w:pPr>
            <w:r>
              <w:rPr>
                <w:sz w:val="24"/>
              </w:rPr>
              <w:t xml:space="preserve">788,42 </w:t>
            </w:r>
          </w:p>
        </w:tc>
        <w:tc>
          <w:tcPr>
            <w:tcW w:w="93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122"/>
            </w:pPr>
            <w:r>
              <w:rPr>
                <w:sz w:val="24"/>
              </w:rPr>
              <w:t xml:space="preserve">173,1 </w:t>
            </w:r>
          </w:p>
        </w:tc>
        <w:tc>
          <w:tcPr>
            <w:tcW w:w="127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center"/>
            </w:pPr>
            <w:r>
              <w:rPr>
                <w:sz w:val="24"/>
              </w:rPr>
              <w:t xml:space="preserve">130,52 </w:t>
            </w:r>
          </w:p>
        </w:tc>
        <w:tc>
          <w:tcPr>
            <w:tcW w:w="111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8"/>
              <w:jc w:val="center"/>
            </w:pPr>
            <w:r>
              <w:rPr>
                <w:sz w:val="24"/>
              </w:rPr>
              <w:t xml:space="preserve">130,52 </w:t>
            </w:r>
          </w:p>
        </w:tc>
        <w:tc>
          <w:tcPr>
            <w:tcW w:w="81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62"/>
            </w:pPr>
            <w:r>
              <w:rPr>
                <w:sz w:val="24"/>
              </w:rPr>
              <w:t xml:space="preserve">84,52 </w:t>
            </w:r>
          </w:p>
        </w:tc>
      </w:tr>
      <w:tr w:rsidR="00FA7413">
        <w:trPr>
          <w:trHeight w:val="310"/>
        </w:trPr>
        <w:tc>
          <w:tcPr>
            <w:tcW w:w="3788"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b/>
                <w:sz w:val="24"/>
              </w:rPr>
              <w:t xml:space="preserve">TOTALES </w:t>
            </w:r>
          </w:p>
        </w:tc>
        <w:tc>
          <w:tcPr>
            <w:tcW w:w="931" w:type="dxa"/>
            <w:tcBorders>
              <w:top w:val="single" w:sz="4" w:space="0" w:color="000000"/>
              <w:left w:val="single" w:sz="4" w:space="0" w:color="000000"/>
              <w:bottom w:val="single" w:sz="4" w:space="0" w:color="000000"/>
              <w:right w:val="single" w:sz="4" w:space="0" w:color="000000"/>
            </w:tcBorders>
          </w:tcPr>
          <w:p w:rsidR="00FA7413" w:rsidRDefault="00D712A8">
            <w:pPr>
              <w:spacing w:after="0"/>
              <w:jc w:val="both"/>
            </w:pPr>
            <w:r>
              <w:rPr>
                <w:b/>
                <w:sz w:val="24"/>
              </w:rPr>
              <w:t xml:space="preserve">6307,36 </w:t>
            </w:r>
          </w:p>
        </w:tc>
        <w:tc>
          <w:tcPr>
            <w:tcW w:w="934" w:type="dxa"/>
            <w:tcBorders>
              <w:top w:val="single" w:sz="4" w:space="0" w:color="000000"/>
              <w:left w:val="single" w:sz="4" w:space="0" w:color="000000"/>
              <w:bottom w:val="single" w:sz="4" w:space="0" w:color="000000"/>
              <w:right w:val="single" w:sz="4" w:space="0" w:color="000000"/>
            </w:tcBorders>
          </w:tcPr>
          <w:p w:rsidR="00FA7413" w:rsidRDefault="00D712A8">
            <w:pPr>
              <w:spacing w:after="0"/>
              <w:jc w:val="both"/>
            </w:pPr>
            <w:r>
              <w:rPr>
                <w:b/>
                <w:sz w:val="24"/>
              </w:rPr>
              <w:t xml:space="preserve">1240,55 </w:t>
            </w:r>
          </w:p>
        </w:tc>
        <w:tc>
          <w:tcPr>
            <w:tcW w:w="127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b/>
                <w:sz w:val="24"/>
              </w:rPr>
              <w:t xml:space="preserve">1044,16 </w:t>
            </w:r>
          </w:p>
        </w:tc>
        <w:tc>
          <w:tcPr>
            <w:tcW w:w="111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91"/>
            </w:pPr>
            <w:r>
              <w:rPr>
                <w:b/>
                <w:sz w:val="24"/>
              </w:rPr>
              <w:t xml:space="preserve">1044,16 </w:t>
            </w:r>
          </w:p>
        </w:tc>
        <w:tc>
          <w:tcPr>
            <w:tcW w:w="811" w:type="dxa"/>
            <w:tcBorders>
              <w:top w:val="single" w:sz="4" w:space="0" w:color="000000"/>
              <w:left w:val="single" w:sz="4" w:space="0" w:color="000000"/>
              <w:bottom w:val="single" w:sz="4" w:space="0" w:color="000000"/>
              <w:right w:val="single" w:sz="4" w:space="0" w:color="000000"/>
            </w:tcBorders>
          </w:tcPr>
          <w:p w:rsidR="00FA7413" w:rsidRDefault="00D712A8">
            <w:pPr>
              <w:spacing w:after="0"/>
              <w:jc w:val="both"/>
            </w:pPr>
            <w:r>
              <w:rPr>
                <w:b/>
                <w:sz w:val="24"/>
              </w:rPr>
              <w:t xml:space="preserve">676,20 </w:t>
            </w:r>
          </w:p>
        </w:tc>
      </w:tr>
    </w:tbl>
    <w:p w:rsidR="00FA7413" w:rsidRDefault="00D712A8">
      <w:pPr>
        <w:spacing w:after="0"/>
        <w:ind w:left="360"/>
      </w:pPr>
      <w:r>
        <w:rPr>
          <w:rFonts w:ascii="Arial" w:eastAsia="Arial" w:hAnsi="Arial" w:cs="Arial"/>
          <w:b/>
        </w:rPr>
        <w:t xml:space="preserve"> </w:t>
      </w:r>
    </w:p>
    <w:tbl>
      <w:tblPr>
        <w:tblStyle w:val="TableGrid"/>
        <w:tblW w:w="8488" w:type="dxa"/>
        <w:tblInd w:w="435" w:type="dxa"/>
        <w:tblCellMar>
          <w:top w:w="53" w:type="dxa"/>
          <w:left w:w="70" w:type="dxa"/>
          <w:bottom w:w="5" w:type="dxa"/>
          <w:right w:w="15" w:type="dxa"/>
        </w:tblCellMar>
        <w:tblLook w:val="04A0" w:firstRow="1" w:lastRow="0" w:firstColumn="1" w:lastColumn="0" w:noHBand="0" w:noVBand="1"/>
      </w:tblPr>
      <w:tblGrid>
        <w:gridCol w:w="4882"/>
        <w:gridCol w:w="1088"/>
        <w:gridCol w:w="1430"/>
        <w:gridCol w:w="1088"/>
      </w:tblGrid>
      <w:tr w:rsidR="00FA7413">
        <w:trPr>
          <w:trHeight w:val="595"/>
        </w:trPr>
        <w:tc>
          <w:tcPr>
            <w:tcW w:w="4882"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Estimación retribuciones de mayo a diciembre 2021 </w:t>
            </w:r>
          </w:p>
        </w:tc>
        <w:tc>
          <w:tcPr>
            <w:tcW w:w="1088" w:type="dxa"/>
            <w:tcBorders>
              <w:top w:val="single" w:sz="4" w:space="0" w:color="000000"/>
              <w:left w:val="single" w:sz="4" w:space="0" w:color="000000"/>
              <w:bottom w:val="single" w:sz="4" w:space="0" w:color="000000"/>
              <w:right w:val="single" w:sz="4" w:space="0" w:color="000000"/>
            </w:tcBorders>
            <w:vAlign w:val="bottom"/>
          </w:tcPr>
          <w:p w:rsidR="00FA7413" w:rsidRDefault="00D712A8">
            <w:pPr>
              <w:spacing w:after="0"/>
              <w:ind w:right="53"/>
              <w:jc w:val="center"/>
            </w:pPr>
            <w:r>
              <w:rPr>
                <w:b/>
                <w:sz w:val="24"/>
              </w:rPr>
              <w:t xml:space="preserve">totales </w:t>
            </w:r>
          </w:p>
        </w:tc>
        <w:tc>
          <w:tcPr>
            <w:tcW w:w="1430" w:type="dxa"/>
            <w:tcBorders>
              <w:top w:val="single" w:sz="4" w:space="0" w:color="000000"/>
              <w:left w:val="single" w:sz="4" w:space="0" w:color="000000"/>
              <w:bottom w:val="single" w:sz="4" w:space="0" w:color="000000"/>
              <w:right w:val="single" w:sz="4" w:space="0" w:color="000000"/>
            </w:tcBorders>
            <w:vAlign w:val="bottom"/>
          </w:tcPr>
          <w:p w:rsidR="00FA7413" w:rsidRDefault="00D712A8">
            <w:pPr>
              <w:spacing w:after="0"/>
              <w:jc w:val="both"/>
            </w:pPr>
            <w:r>
              <w:rPr>
                <w:b/>
                <w:sz w:val="24"/>
              </w:rPr>
              <w:t xml:space="preserve">Est. Seg. Soc. </w:t>
            </w:r>
          </w:p>
        </w:tc>
        <w:tc>
          <w:tcPr>
            <w:tcW w:w="1088" w:type="dxa"/>
            <w:tcBorders>
              <w:top w:val="single" w:sz="4" w:space="0" w:color="000000"/>
              <w:left w:val="single" w:sz="4" w:space="0" w:color="000000"/>
              <w:bottom w:val="single" w:sz="4" w:space="0" w:color="000000"/>
              <w:right w:val="single" w:sz="4" w:space="0" w:color="000000"/>
            </w:tcBorders>
            <w:vAlign w:val="bottom"/>
          </w:tcPr>
          <w:p w:rsidR="00FA7413" w:rsidRDefault="00D712A8">
            <w:pPr>
              <w:spacing w:after="0"/>
              <w:ind w:right="57"/>
              <w:jc w:val="center"/>
            </w:pPr>
            <w:r>
              <w:rPr>
                <w:b/>
                <w:sz w:val="24"/>
              </w:rPr>
              <w:t xml:space="preserve">Coste </w:t>
            </w:r>
          </w:p>
        </w:tc>
      </w:tr>
      <w:tr w:rsidR="00FA7413">
        <w:trPr>
          <w:trHeight w:val="310"/>
        </w:trPr>
        <w:tc>
          <w:tcPr>
            <w:tcW w:w="4882"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mayo </w:t>
            </w:r>
          </w:p>
        </w:tc>
        <w:tc>
          <w:tcPr>
            <w:tcW w:w="1088"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79"/>
            </w:pPr>
            <w:r>
              <w:rPr>
                <w:sz w:val="24"/>
              </w:rPr>
              <w:t xml:space="preserve">1278,26 </w:t>
            </w:r>
          </w:p>
        </w:tc>
        <w:tc>
          <w:tcPr>
            <w:tcW w:w="143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center"/>
            </w:pPr>
            <w:r>
              <w:rPr>
                <w:sz w:val="24"/>
              </w:rPr>
              <w:t xml:space="preserve">410,32 </w:t>
            </w:r>
          </w:p>
        </w:tc>
        <w:tc>
          <w:tcPr>
            <w:tcW w:w="1088"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4"/>
              <w:jc w:val="right"/>
            </w:pPr>
            <w:r>
              <w:rPr>
                <w:sz w:val="24"/>
              </w:rPr>
              <w:t xml:space="preserve">1688,58 </w:t>
            </w:r>
          </w:p>
        </w:tc>
      </w:tr>
      <w:tr w:rsidR="00FA7413">
        <w:trPr>
          <w:trHeight w:val="310"/>
        </w:trPr>
        <w:tc>
          <w:tcPr>
            <w:tcW w:w="4882"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junio </w:t>
            </w:r>
          </w:p>
        </w:tc>
        <w:tc>
          <w:tcPr>
            <w:tcW w:w="1088"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79"/>
            </w:pPr>
            <w:r>
              <w:rPr>
                <w:sz w:val="24"/>
              </w:rPr>
              <w:t xml:space="preserve">1278,23 </w:t>
            </w:r>
          </w:p>
        </w:tc>
        <w:tc>
          <w:tcPr>
            <w:tcW w:w="143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center"/>
            </w:pPr>
            <w:r>
              <w:rPr>
                <w:sz w:val="24"/>
              </w:rPr>
              <w:t xml:space="preserve">410,31 </w:t>
            </w:r>
          </w:p>
        </w:tc>
        <w:tc>
          <w:tcPr>
            <w:tcW w:w="1088"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4"/>
              <w:jc w:val="right"/>
            </w:pPr>
            <w:r>
              <w:rPr>
                <w:sz w:val="24"/>
              </w:rPr>
              <w:t xml:space="preserve">1688,54 </w:t>
            </w:r>
          </w:p>
        </w:tc>
      </w:tr>
      <w:tr w:rsidR="00FA7413">
        <w:trPr>
          <w:trHeight w:val="310"/>
        </w:trPr>
        <w:tc>
          <w:tcPr>
            <w:tcW w:w="4882"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julio </w:t>
            </w:r>
          </w:p>
        </w:tc>
        <w:tc>
          <w:tcPr>
            <w:tcW w:w="1088"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79"/>
            </w:pPr>
            <w:r>
              <w:rPr>
                <w:sz w:val="24"/>
              </w:rPr>
              <w:t xml:space="preserve">1278,23 </w:t>
            </w:r>
          </w:p>
        </w:tc>
        <w:tc>
          <w:tcPr>
            <w:tcW w:w="143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center"/>
            </w:pPr>
            <w:r>
              <w:rPr>
                <w:sz w:val="24"/>
              </w:rPr>
              <w:t xml:space="preserve">410,31 </w:t>
            </w:r>
          </w:p>
        </w:tc>
        <w:tc>
          <w:tcPr>
            <w:tcW w:w="1088"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4"/>
              <w:jc w:val="right"/>
            </w:pPr>
            <w:r>
              <w:rPr>
                <w:sz w:val="24"/>
              </w:rPr>
              <w:t xml:space="preserve">1688,54 </w:t>
            </w:r>
          </w:p>
        </w:tc>
      </w:tr>
      <w:tr w:rsidR="00FA7413">
        <w:trPr>
          <w:trHeight w:val="312"/>
        </w:trPr>
        <w:tc>
          <w:tcPr>
            <w:tcW w:w="4882"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agosto </w:t>
            </w:r>
          </w:p>
        </w:tc>
        <w:tc>
          <w:tcPr>
            <w:tcW w:w="1088"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79"/>
            </w:pPr>
            <w:r>
              <w:rPr>
                <w:sz w:val="24"/>
              </w:rPr>
              <w:t xml:space="preserve">1278,23 </w:t>
            </w:r>
          </w:p>
        </w:tc>
        <w:tc>
          <w:tcPr>
            <w:tcW w:w="143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center"/>
            </w:pPr>
            <w:r>
              <w:rPr>
                <w:sz w:val="24"/>
              </w:rPr>
              <w:t xml:space="preserve">410,31 </w:t>
            </w:r>
          </w:p>
        </w:tc>
        <w:tc>
          <w:tcPr>
            <w:tcW w:w="1088"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4"/>
              <w:jc w:val="right"/>
            </w:pPr>
            <w:r>
              <w:rPr>
                <w:sz w:val="24"/>
              </w:rPr>
              <w:t xml:space="preserve">1688,54 </w:t>
            </w:r>
          </w:p>
        </w:tc>
      </w:tr>
      <w:tr w:rsidR="00FA7413">
        <w:trPr>
          <w:trHeight w:val="310"/>
        </w:trPr>
        <w:tc>
          <w:tcPr>
            <w:tcW w:w="4882"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septiembre </w:t>
            </w:r>
          </w:p>
        </w:tc>
        <w:tc>
          <w:tcPr>
            <w:tcW w:w="1088"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79"/>
            </w:pPr>
            <w:r>
              <w:rPr>
                <w:sz w:val="24"/>
              </w:rPr>
              <w:t xml:space="preserve">1278,23 </w:t>
            </w:r>
          </w:p>
        </w:tc>
        <w:tc>
          <w:tcPr>
            <w:tcW w:w="143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center"/>
            </w:pPr>
            <w:r>
              <w:rPr>
                <w:sz w:val="24"/>
              </w:rPr>
              <w:t xml:space="preserve">410,31 </w:t>
            </w:r>
          </w:p>
        </w:tc>
        <w:tc>
          <w:tcPr>
            <w:tcW w:w="1088"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4"/>
              <w:jc w:val="right"/>
            </w:pPr>
            <w:r>
              <w:rPr>
                <w:sz w:val="24"/>
              </w:rPr>
              <w:t xml:space="preserve">1688,54 </w:t>
            </w:r>
          </w:p>
        </w:tc>
      </w:tr>
      <w:tr w:rsidR="00FA7413">
        <w:trPr>
          <w:trHeight w:val="310"/>
        </w:trPr>
        <w:tc>
          <w:tcPr>
            <w:tcW w:w="4882"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octubre </w:t>
            </w:r>
          </w:p>
        </w:tc>
        <w:tc>
          <w:tcPr>
            <w:tcW w:w="1088"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79"/>
            </w:pPr>
            <w:r>
              <w:rPr>
                <w:sz w:val="24"/>
              </w:rPr>
              <w:t xml:space="preserve">1307,08 </w:t>
            </w:r>
          </w:p>
        </w:tc>
        <w:tc>
          <w:tcPr>
            <w:tcW w:w="143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center"/>
            </w:pPr>
            <w:r>
              <w:rPr>
                <w:sz w:val="24"/>
              </w:rPr>
              <w:t xml:space="preserve">419,57 </w:t>
            </w:r>
          </w:p>
        </w:tc>
        <w:tc>
          <w:tcPr>
            <w:tcW w:w="1088"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4"/>
              <w:jc w:val="right"/>
            </w:pPr>
            <w:r>
              <w:rPr>
                <w:sz w:val="24"/>
              </w:rPr>
              <w:t xml:space="preserve">1726,65 </w:t>
            </w:r>
          </w:p>
        </w:tc>
      </w:tr>
      <w:tr w:rsidR="00FA7413">
        <w:trPr>
          <w:trHeight w:val="310"/>
        </w:trPr>
        <w:tc>
          <w:tcPr>
            <w:tcW w:w="4882"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noviembre </w:t>
            </w:r>
          </w:p>
        </w:tc>
        <w:tc>
          <w:tcPr>
            <w:tcW w:w="1088"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79"/>
            </w:pPr>
            <w:r>
              <w:rPr>
                <w:sz w:val="24"/>
              </w:rPr>
              <w:t xml:space="preserve">1307,08 </w:t>
            </w:r>
          </w:p>
        </w:tc>
        <w:tc>
          <w:tcPr>
            <w:tcW w:w="143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center"/>
            </w:pPr>
            <w:r>
              <w:rPr>
                <w:sz w:val="24"/>
              </w:rPr>
              <w:t xml:space="preserve">419,57 </w:t>
            </w:r>
          </w:p>
        </w:tc>
        <w:tc>
          <w:tcPr>
            <w:tcW w:w="1088"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4"/>
              <w:jc w:val="right"/>
            </w:pPr>
            <w:r>
              <w:rPr>
                <w:sz w:val="24"/>
              </w:rPr>
              <w:t xml:space="preserve">1726,65 </w:t>
            </w:r>
          </w:p>
        </w:tc>
      </w:tr>
      <w:tr w:rsidR="00FA7413">
        <w:trPr>
          <w:trHeight w:val="310"/>
        </w:trPr>
        <w:tc>
          <w:tcPr>
            <w:tcW w:w="4882"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diciembre </w:t>
            </w:r>
          </w:p>
        </w:tc>
        <w:tc>
          <w:tcPr>
            <w:tcW w:w="1088"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79"/>
            </w:pPr>
            <w:r>
              <w:rPr>
                <w:sz w:val="24"/>
              </w:rPr>
              <w:t xml:space="preserve">1307,08 </w:t>
            </w:r>
          </w:p>
        </w:tc>
        <w:tc>
          <w:tcPr>
            <w:tcW w:w="143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center"/>
            </w:pPr>
            <w:r>
              <w:rPr>
                <w:sz w:val="24"/>
              </w:rPr>
              <w:t xml:space="preserve">419,57 </w:t>
            </w:r>
          </w:p>
        </w:tc>
        <w:tc>
          <w:tcPr>
            <w:tcW w:w="1088"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4"/>
              <w:jc w:val="right"/>
            </w:pPr>
            <w:r>
              <w:rPr>
                <w:sz w:val="24"/>
              </w:rPr>
              <w:t xml:space="preserve">1726,65 </w:t>
            </w:r>
          </w:p>
        </w:tc>
      </w:tr>
      <w:tr w:rsidR="00FA7413">
        <w:trPr>
          <w:trHeight w:val="312"/>
        </w:trPr>
        <w:tc>
          <w:tcPr>
            <w:tcW w:w="4882"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b/>
                <w:sz w:val="24"/>
              </w:rPr>
              <w:t xml:space="preserve">TOTALES </w:t>
            </w:r>
          </w:p>
        </w:tc>
        <w:tc>
          <w:tcPr>
            <w:tcW w:w="1088"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17"/>
              <w:jc w:val="both"/>
            </w:pPr>
            <w:r>
              <w:rPr>
                <w:b/>
                <w:sz w:val="24"/>
              </w:rPr>
              <w:t xml:space="preserve">10312,42 </w:t>
            </w:r>
          </w:p>
        </w:tc>
        <w:tc>
          <w:tcPr>
            <w:tcW w:w="143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4"/>
              <w:jc w:val="center"/>
            </w:pPr>
            <w:r>
              <w:rPr>
                <w:b/>
                <w:sz w:val="24"/>
              </w:rPr>
              <w:t xml:space="preserve">3310,29 </w:t>
            </w:r>
          </w:p>
        </w:tc>
        <w:tc>
          <w:tcPr>
            <w:tcW w:w="1088"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17"/>
              <w:jc w:val="both"/>
            </w:pPr>
            <w:r>
              <w:rPr>
                <w:b/>
                <w:sz w:val="24"/>
              </w:rPr>
              <w:t xml:space="preserve">13622,70 </w:t>
            </w:r>
          </w:p>
        </w:tc>
      </w:tr>
    </w:tbl>
    <w:p w:rsidR="00FA7413" w:rsidRDefault="00D712A8">
      <w:pPr>
        <w:spacing w:after="0"/>
        <w:ind w:left="360"/>
      </w:pPr>
      <w:r>
        <w:rPr>
          <w:rFonts w:ascii="Arial" w:eastAsia="Arial" w:hAnsi="Arial" w:cs="Arial"/>
        </w:rPr>
        <w:t xml:space="preserve"> </w:t>
      </w:r>
    </w:p>
    <w:p w:rsidR="00FA7413" w:rsidRDefault="00D712A8">
      <w:pPr>
        <w:spacing w:after="21" w:line="248" w:lineRule="auto"/>
        <w:ind w:left="355" w:right="64" w:hanging="10"/>
        <w:jc w:val="both"/>
      </w:pPr>
      <w:r>
        <w:rPr>
          <w:rFonts w:ascii="Arial" w:eastAsia="Arial" w:hAnsi="Arial" w:cs="Arial"/>
          <w:b/>
        </w:rPr>
        <w:t xml:space="preserve">UNDÉCIMO. - </w:t>
      </w:r>
      <w:r>
        <w:rPr>
          <w:rFonts w:ascii="Arial" w:eastAsia="Arial" w:hAnsi="Arial" w:cs="Arial"/>
        </w:rPr>
        <w:t xml:space="preserve">Dar traslado de la resolución adoptada a la Intervención, Tesorería Municipal a los efectos oportunos y al Juzgado de lo Social nº 6, de Santa Cruz de Tenerife para su conocimiento. </w:t>
      </w:r>
      <w:r>
        <w:rPr>
          <w:rFonts w:ascii="Times New Roman" w:eastAsia="Times New Roman" w:hAnsi="Times New Roman" w:cs="Times New Roman"/>
          <w:sz w:val="24"/>
        </w:rPr>
        <w:t xml:space="preserve">Es cuanto puedo informar, salvo error u omisión involuntaria, no obstante, el órgano competente resolverá como mejor proceda en derecho </w:t>
      </w:r>
    </w:p>
    <w:p w:rsidR="00FA7413" w:rsidRDefault="00D712A8">
      <w:pPr>
        <w:spacing w:after="98"/>
        <w:ind w:left="360"/>
      </w:pPr>
      <w:r>
        <w:rPr>
          <w:rFonts w:ascii="Arial" w:eastAsia="Arial" w:hAnsi="Arial" w:cs="Arial"/>
        </w:rPr>
        <w:t xml:space="preserve">  </w:t>
      </w:r>
    </w:p>
    <w:p w:rsidR="00FA7413" w:rsidRDefault="00D712A8">
      <w:pPr>
        <w:pStyle w:val="Ttulo2"/>
        <w:ind w:left="1013" w:right="718"/>
      </w:pPr>
      <w:r>
        <w:t xml:space="preserve">RESOLUCIÓN  </w:t>
      </w:r>
    </w:p>
    <w:p w:rsidR="00FA7413" w:rsidRDefault="00D712A8">
      <w:pPr>
        <w:spacing w:after="109" w:line="248" w:lineRule="auto"/>
        <w:ind w:left="355" w:right="64" w:hanging="10"/>
        <w:jc w:val="both"/>
      </w:pPr>
      <w:r>
        <w:rPr>
          <w:rFonts w:ascii="Arial" w:eastAsia="Arial" w:hAnsi="Arial" w:cs="Arial"/>
        </w:rPr>
        <w:t xml:space="preserve"> Visto el informe transcrito precedentemente, esta Concejalía delegada, en uso de las atribuciones lega</w:t>
      </w:r>
      <w:r>
        <w:rPr>
          <w:rFonts w:ascii="Arial" w:eastAsia="Arial" w:hAnsi="Arial" w:cs="Arial"/>
        </w:rPr>
        <w:t xml:space="preserve">lmente conferidas resuelve:                    </w:t>
      </w:r>
    </w:p>
    <w:p w:rsidR="00FA7413" w:rsidRDefault="00D712A8">
      <w:pPr>
        <w:spacing w:after="109" w:line="248" w:lineRule="auto"/>
        <w:ind w:left="355" w:right="64" w:hanging="10"/>
        <w:jc w:val="both"/>
      </w:pPr>
      <w:r>
        <w:rPr>
          <w:noProof/>
        </w:rPr>
        <mc:AlternateContent>
          <mc:Choice Requires="wpg">
            <w:drawing>
              <wp:anchor distT="0" distB="0" distL="114300" distR="114300" simplePos="0" relativeHeight="251829248"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32207" name="Group 232207"/>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21993" name="Rectangle 21993"/>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21994" name="Rectangle 21994"/>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165 de 180 </w:t>
                              </w:r>
                            </w:p>
                          </w:txbxContent>
                        </wps:txbx>
                        <wps:bodyPr horzOverflow="overflow" vert="horz" lIns="0" tIns="0" rIns="0" bIns="0" rtlCol="0">
                          <a:noAutofit/>
                        </wps:bodyPr>
                      </wps:wsp>
                    </wpg:wgp>
                  </a:graphicData>
                </a:graphic>
              </wp:anchor>
            </w:drawing>
          </mc:Choice>
          <mc:Fallback xmlns:a="http://schemas.openxmlformats.org/drawingml/2006/main">
            <w:pict>
              <v:group id="Group 232207" style="width:12.7031pt;height:275.586pt;position:absolute;mso-position-horizontal-relative:page;mso-position-horizontal:absolute;margin-left:682.278pt;mso-position-vertical-relative:page;margin-top:536.334pt;" coordsize="1613,34999">
                <v:rect id="Rectangle 21993"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21994"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165 de 180 </w:t>
                        </w:r>
                      </w:p>
                    </w:txbxContent>
                  </v:textbox>
                </v:rect>
                <w10:wrap type="square"/>
              </v:group>
            </w:pict>
          </mc:Fallback>
        </mc:AlternateContent>
      </w:r>
      <w:r>
        <w:rPr>
          <w:rFonts w:ascii="Arial" w:eastAsia="Arial" w:hAnsi="Arial" w:cs="Arial"/>
          <w:b/>
        </w:rPr>
        <w:t xml:space="preserve">PRIMERO. </w:t>
      </w:r>
      <w:r>
        <w:rPr>
          <w:rFonts w:ascii="Arial" w:eastAsia="Arial" w:hAnsi="Arial" w:cs="Arial"/>
          <w:b/>
        </w:rPr>
        <w:t xml:space="preserve">- </w:t>
      </w:r>
      <w:r>
        <w:rPr>
          <w:rFonts w:ascii="Arial" w:eastAsia="Arial" w:hAnsi="Arial" w:cs="Arial"/>
        </w:rPr>
        <w:t xml:space="preserve"> Tomar conocimiento de la Sentencia que se indica a continuación, así como los autos dictados con posterioridad: </w:t>
      </w:r>
    </w:p>
    <w:p w:rsidR="00FA7413" w:rsidRDefault="00D712A8">
      <w:pPr>
        <w:spacing w:after="47"/>
        <w:ind w:right="1080"/>
        <w:jc w:val="right"/>
      </w:pPr>
      <w:r>
        <w:rPr>
          <w:noProof/>
        </w:rPr>
        <w:drawing>
          <wp:inline distT="0" distB="0" distL="0" distR="0">
            <wp:extent cx="5394960" cy="1737360"/>
            <wp:effectExtent l="0" t="0" r="0" b="0"/>
            <wp:docPr id="21990" name="Picture 21990"/>
            <wp:cNvGraphicFramePr/>
            <a:graphic xmlns:a="http://schemas.openxmlformats.org/drawingml/2006/main">
              <a:graphicData uri="http://schemas.openxmlformats.org/drawingml/2006/picture">
                <pic:pic xmlns:pic="http://schemas.openxmlformats.org/drawingml/2006/picture">
                  <pic:nvPicPr>
                    <pic:cNvPr id="21990" name="Picture 21990"/>
                    <pic:cNvPicPr/>
                  </pic:nvPicPr>
                  <pic:blipFill>
                    <a:blip r:embed="rId32"/>
                    <a:stretch>
                      <a:fillRect/>
                    </a:stretch>
                  </pic:blipFill>
                  <pic:spPr>
                    <a:xfrm>
                      <a:off x="0" y="0"/>
                      <a:ext cx="5394960" cy="1737360"/>
                    </a:xfrm>
                    <a:prstGeom prst="rect">
                      <a:avLst/>
                    </a:prstGeom>
                  </pic:spPr>
                </pic:pic>
              </a:graphicData>
            </a:graphic>
          </wp:inline>
        </w:drawing>
      </w:r>
      <w:r>
        <w:rPr>
          <w:rFonts w:ascii="Arial" w:eastAsia="Arial" w:hAnsi="Arial" w:cs="Arial"/>
        </w:rPr>
        <w:t xml:space="preserve"> </w:t>
      </w:r>
    </w:p>
    <w:p w:rsidR="00FA7413" w:rsidRDefault="00D712A8">
      <w:pPr>
        <w:spacing w:after="109" w:line="248" w:lineRule="auto"/>
        <w:ind w:left="355" w:right="64" w:hanging="10"/>
        <w:jc w:val="both"/>
      </w:pPr>
      <w:r>
        <w:rPr>
          <w:rFonts w:ascii="Arial" w:eastAsia="Arial" w:hAnsi="Arial" w:cs="Arial"/>
          <w:b/>
        </w:rPr>
        <w:t>SEGUNDO</w:t>
      </w:r>
      <w:r>
        <w:rPr>
          <w:rFonts w:ascii="Arial" w:eastAsia="Arial" w:hAnsi="Arial" w:cs="Arial"/>
        </w:rPr>
        <w:t>. - Reconocer el derecho del empleado a percibir las cantidades correspondientes al QUINTO TRIENIO de antigüedad, por aplicación d</w:t>
      </w:r>
      <w:r>
        <w:rPr>
          <w:rFonts w:ascii="Arial" w:eastAsia="Arial" w:hAnsi="Arial" w:cs="Arial"/>
        </w:rPr>
        <w:t xml:space="preserve">e lo establecido en las correspondientes Leyes de Presupuestos Generales del Estado para cada año, para el grupo C, subgrupo C1. </w:t>
      </w:r>
    </w:p>
    <w:p w:rsidR="00FA7413" w:rsidRDefault="00D712A8">
      <w:pPr>
        <w:spacing w:after="109" w:line="248" w:lineRule="auto"/>
        <w:ind w:left="355" w:right="64" w:hanging="10"/>
        <w:jc w:val="both"/>
      </w:pPr>
      <w:r>
        <w:rPr>
          <w:rFonts w:ascii="Arial" w:eastAsia="Arial" w:hAnsi="Arial" w:cs="Arial"/>
          <w:b/>
        </w:rPr>
        <w:t>TERCERO</w:t>
      </w:r>
      <w:r>
        <w:rPr>
          <w:rFonts w:ascii="Arial" w:eastAsia="Arial" w:hAnsi="Arial" w:cs="Arial"/>
        </w:rPr>
        <w:t>. - El trienio al que se hace referencia en el punto anterior estará referido al 30 de septiembre de 2018, debiendo cor</w:t>
      </w:r>
      <w:r>
        <w:rPr>
          <w:rFonts w:ascii="Arial" w:eastAsia="Arial" w:hAnsi="Arial" w:cs="Arial"/>
        </w:rPr>
        <w:t xml:space="preserve">responder el reconocimiento de un nuevo trienio (sexto) con efectos económicos a partir del mes de octubre de 2021. </w:t>
      </w:r>
    </w:p>
    <w:p w:rsidR="00FA7413" w:rsidRDefault="00D712A8">
      <w:pPr>
        <w:spacing w:after="109" w:line="248" w:lineRule="auto"/>
        <w:ind w:left="355" w:right="64" w:hanging="10"/>
        <w:jc w:val="both"/>
      </w:pPr>
      <w:r>
        <w:rPr>
          <w:rFonts w:ascii="Arial" w:eastAsia="Arial" w:hAnsi="Arial" w:cs="Arial"/>
          <w:b/>
        </w:rPr>
        <w:t>CUARTO</w:t>
      </w:r>
      <w:r>
        <w:rPr>
          <w:rFonts w:ascii="Arial" w:eastAsia="Arial" w:hAnsi="Arial" w:cs="Arial"/>
        </w:rPr>
        <w:t>. - En atención a lo establecido en la Sentencia de 24 de julio de 2020, por la que se reconoce el derecho del empleado a la percepci</w:t>
      </w:r>
      <w:r>
        <w:rPr>
          <w:rFonts w:ascii="Arial" w:eastAsia="Arial" w:hAnsi="Arial" w:cs="Arial"/>
        </w:rPr>
        <w:t xml:space="preserve">ón de </w:t>
      </w:r>
      <w:r>
        <w:rPr>
          <w:rFonts w:ascii="Arial" w:eastAsia="Arial" w:hAnsi="Arial" w:cs="Arial"/>
          <w:b/>
          <w:u w:val="single" w:color="000000"/>
        </w:rPr>
        <w:t>9289.70 euros</w:t>
      </w:r>
      <w:r>
        <w:rPr>
          <w:rFonts w:ascii="Arial" w:eastAsia="Arial" w:hAnsi="Arial" w:cs="Arial"/>
        </w:rPr>
        <w:t xml:space="preserve"> repartidos entre el mes de junio de 2017 y septiembre de 2019 (</w:t>
      </w:r>
      <w:r>
        <w:rPr>
          <w:rFonts w:ascii="Arial" w:eastAsia="Arial" w:hAnsi="Arial" w:cs="Arial"/>
          <w:u w:val="single" w:color="000000"/>
        </w:rPr>
        <w:t>28 meses</w:t>
      </w:r>
      <w:r>
        <w:rPr>
          <w:rFonts w:ascii="Arial" w:eastAsia="Arial" w:hAnsi="Arial" w:cs="Arial"/>
        </w:rPr>
        <w:t xml:space="preserve">), esto es un importe de atrasos mensual de </w:t>
      </w:r>
      <w:r>
        <w:rPr>
          <w:rFonts w:ascii="Arial" w:eastAsia="Arial" w:hAnsi="Arial" w:cs="Arial"/>
          <w:b/>
          <w:u w:val="single" w:color="000000"/>
        </w:rPr>
        <w:t>331.78</w:t>
      </w:r>
      <w:r>
        <w:rPr>
          <w:rFonts w:ascii="Arial" w:eastAsia="Arial" w:hAnsi="Arial" w:cs="Arial"/>
          <w:b/>
        </w:rPr>
        <w:t xml:space="preserve"> </w:t>
      </w:r>
      <w:r>
        <w:rPr>
          <w:rFonts w:ascii="Arial" w:eastAsia="Arial" w:hAnsi="Arial" w:cs="Arial"/>
          <w:b/>
          <w:u w:val="single" w:color="000000"/>
        </w:rPr>
        <w:t>euros brutos mensuales</w:t>
      </w:r>
      <w:r>
        <w:rPr>
          <w:rFonts w:ascii="Arial" w:eastAsia="Arial" w:hAnsi="Arial" w:cs="Arial"/>
        </w:rPr>
        <w:t xml:space="preserve">. </w:t>
      </w:r>
    </w:p>
    <w:p w:rsidR="00FA7413" w:rsidRDefault="00D712A8">
      <w:pPr>
        <w:spacing w:after="153" w:line="248" w:lineRule="auto"/>
        <w:ind w:left="355" w:right="64" w:hanging="10"/>
        <w:jc w:val="both"/>
      </w:pPr>
      <w:r>
        <w:rPr>
          <w:rFonts w:ascii="Arial" w:eastAsia="Arial" w:hAnsi="Arial" w:cs="Arial"/>
          <w:b/>
        </w:rPr>
        <w:t>QUINTO</w:t>
      </w:r>
      <w:r>
        <w:rPr>
          <w:rFonts w:ascii="Arial" w:eastAsia="Arial" w:hAnsi="Arial" w:cs="Arial"/>
        </w:rPr>
        <w:t>. - Establecer la estructura retributiva mensual y anual que se indica a continuaci</w:t>
      </w:r>
      <w:r>
        <w:rPr>
          <w:rFonts w:ascii="Arial" w:eastAsia="Arial" w:hAnsi="Arial" w:cs="Arial"/>
        </w:rPr>
        <w:t xml:space="preserve">ón para el empleado, a partir de la nómina del mes de abril de 2021, teniendo en cuenta que las retribuciones básicas son las fijadas por las respectivas Leyes de Presupuestos Generales del Estado correspondientes a cada año: </w:t>
      </w:r>
    </w:p>
    <w:p w:rsidR="00FA7413" w:rsidRDefault="00D712A8">
      <w:pPr>
        <w:tabs>
          <w:tab w:val="center" w:pos="1341"/>
          <w:tab w:val="center" w:pos="3762"/>
          <w:tab w:val="center" w:pos="4884"/>
          <w:tab w:val="center" w:pos="6060"/>
        </w:tabs>
        <w:spacing w:after="0"/>
      </w:pPr>
      <w:r>
        <w:tab/>
      </w:r>
      <w:r>
        <w:rPr>
          <w:b/>
          <w:sz w:val="24"/>
        </w:rPr>
        <w:t>Cantidades men-</w:t>
      </w:r>
      <w:r>
        <w:rPr>
          <w:b/>
          <w:sz w:val="24"/>
        </w:rPr>
        <w:tab/>
        <w:t xml:space="preserve">Ant. C1 </w:t>
      </w:r>
      <w:r>
        <w:rPr>
          <w:b/>
          <w:sz w:val="24"/>
        </w:rPr>
        <w:tab/>
        <w:t>Pag</w:t>
      </w:r>
      <w:r>
        <w:rPr>
          <w:b/>
          <w:sz w:val="24"/>
        </w:rPr>
        <w:t>as ju-</w:t>
      </w:r>
      <w:r>
        <w:rPr>
          <w:b/>
          <w:sz w:val="24"/>
        </w:rPr>
        <w:tab/>
        <w:t xml:space="preserve">Paga Dic. </w:t>
      </w:r>
    </w:p>
    <w:p w:rsidR="00FA7413" w:rsidRDefault="00D712A8">
      <w:pPr>
        <w:tabs>
          <w:tab w:val="center" w:pos="809"/>
          <w:tab w:val="center" w:pos="2861"/>
          <w:tab w:val="center" w:pos="3761"/>
          <w:tab w:val="center" w:pos="4885"/>
          <w:tab w:val="center" w:pos="6061"/>
          <w:tab w:val="center" w:pos="6956"/>
          <w:tab w:val="center" w:pos="7794"/>
        </w:tabs>
        <w:spacing w:after="0"/>
      </w:pPr>
      <w:r>
        <w:tab/>
      </w:r>
      <w:r>
        <w:rPr>
          <w:b/>
          <w:sz w:val="24"/>
        </w:rPr>
        <w:t xml:space="preserve">suales </w:t>
      </w:r>
      <w:r>
        <w:rPr>
          <w:b/>
          <w:sz w:val="24"/>
        </w:rPr>
        <w:tab/>
        <w:t xml:space="preserve">SB C1 </w:t>
      </w:r>
      <w:r>
        <w:rPr>
          <w:b/>
          <w:sz w:val="24"/>
        </w:rPr>
        <w:tab/>
        <w:t xml:space="preserve">(5) </w:t>
      </w:r>
      <w:r>
        <w:rPr>
          <w:b/>
          <w:sz w:val="24"/>
        </w:rPr>
        <w:tab/>
        <w:t xml:space="preserve">nio C1 </w:t>
      </w:r>
      <w:r>
        <w:rPr>
          <w:b/>
          <w:sz w:val="24"/>
        </w:rPr>
        <w:tab/>
        <w:t xml:space="preserve">C1 </w:t>
      </w:r>
      <w:r>
        <w:rPr>
          <w:b/>
          <w:sz w:val="24"/>
        </w:rPr>
        <w:tab/>
        <w:t xml:space="preserve">CPT </w:t>
      </w:r>
      <w:r>
        <w:rPr>
          <w:b/>
          <w:sz w:val="24"/>
        </w:rPr>
        <w:tab/>
        <w:t xml:space="preserve">TOTAL </w:t>
      </w:r>
    </w:p>
    <w:tbl>
      <w:tblPr>
        <w:tblStyle w:val="TableGrid"/>
        <w:tblW w:w="7861" w:type="dxa"/>
        <w:tblInd w:w="430" w:type="dxa"/>
        <w:tblCellMar>
          <w:top w:w="60" w:type="dxa"/>
          <w:left w:w="70" w:type="dxa"/>
          <w:bottom w:w="0" w:type="dxa"/>
          <w:right w:w="15" w:type="dxa"/>
        </w:tblCellMar>
        <w:tblLook w:val="04A0" w:firstRow="1" w:lastRow="0" w:firstColumn="1" w:lastColumn="0" w:noHBand="0" w:noVBand="1"/>
      </w:tblPr>
      <w:tblGrid>
        <w:gridCol w:w="2028"/>
        <w:gridCol w:w="809"/>
        <w:gridCol w:w="991"/>
        <w:gridCol w:w="1253"/>
        <w:gridCol w:w="1102"/>
        <w:gridCol w:w="686"/>
        <w:gridCol w:w="991"/>
      </w:tblGrid>
      <w:tr w:rsidR="00FA7413">
        <w:trPr>
          <w:trHeight w:val="310"/>
        </w:trPr>
        <w:tc>
          <w:tcPr>
            <w:tcW w:w="2028"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año 2021 </w:t>
            </w:r>
          </w:p>
        </w:tc>
        <w:tc>
          <w:tcPr>
            <w:tcW w:w="809" w:type="dxa"/>
            <w:tcBorders>
              <w:top w:val="single" w:sz="4" w:space="0" w:color="000000"/>
              <w:left w:val="single" w:sz="4" w:space="0" w:color="000000"/>
              <w:bottom w:val="single" w:sz="4" w:space="0" w:color="000000"/>
              <w:right w:val="single" w:sz="4" w:space="0" w:color="000000"/>
            </w:tcBorders>
          </w:tcPr>
          <w:p w:rsidR="00FA7413" w:rsidRDefault="00D712A8">
            <w:pPr>
              <w:spacing w:after="0"/>
              <w:jc w:val="both"/>
            </w:pPr>
            <w:r>
              <w:rPr>
                <w:sz w:val="24"/>
              </w:rPr>
              <w:t xml:space="preserve">788,42 </w:t>
            </w:r>
          </w:p>
        </w:tc>
        <w:tc>
          <w:tcPr>
            <w:tcW w:w="99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91"/>
            </w:pPr>
            <w:r>
              <w:rPr>
                <w:sz w:val="24"/>
              </w:rPr>
              <w:t xml:space="preserve">144,25 </w:t>
            </w:r>
          </w:p>
        </w:tc>
        <w:tc>
          <w:tcPr>
            <w:tcW w:w="125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center"/>
            </w:pPr>
            <w:r>
              <w:rPr>
                <w:sz w:val="24"/>
              </w:rPr>
              <w:t xml:space="preserve">130,52 </w:t>
            </w:r>
          </w:p>
        </w:tc>
        <w:tc>
          <w:tcPr>
            <w:tcW w:w="110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center"/>
            </w:pPr>
            <w:r>
              <w:rPr>
                <w:sz w:val="24"/>
              </w:rPr>
              <w:t xml:space="preserve">130,52 </w:t>
            </w:r>
          </w:p>
        </w:tc>
        <w:tc>
          <w:tcPr>
            <w:tcW w:w="686" w:type="dxa"/>
            <w:tcBorders>
              <w:top w:val="single" w:sz="4" w:space="0" w:color="000000"/>
              <w:left w:val="single" w:sz="4" w:space="0" w:color="000000"/>
              <w:bottom w:val="single" w:sz="4" w:space="0" w:color="000000"/>
              <w:right w:val="single" w:sz="4" w:space="0" w:color="000000"/>
            </w:tcBorders>
          </w:tcPr>
          <w:p w:rsidR="00FA7413" w:rsidRDefault="00D712A8">
            <w:pPr>
              <w:spacing w:after="0"/>
              <w:jc w:val="both"/>
            </w:pPr>
            <w:r>
              <w:rPr>
                <w:sz w:val="24"/>
              </w:rPr>
              <w:t xml:space="preserve">84,56 </w:t>
            </w:r>
          </w:p>
        </w:tc>
        <w:tc>
          <w:tcPr>
            <w:tcW w:w="99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2"/>
              <w:jc w:val="both"/>
            </w:pPr>
            <w:r>
              <w:rPr>
                <w:sz w:val="24"/>
              </w:rPr>
              <w:t xml:space="preserve">1.278,26 </w:t>
            </w:r>
          </w:p>
        </w:tc>
      </w:tr>
    </w:tbl>
    <w:p w:rsidR="00FA7413" w:rsidRDefault="00D712A8">
      <w:pPr>
        <w:spacing w:after="98"/>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tbl>
      <w:tblPr>
        <w:tblStyle w:val="TableGrid"/>
        <w:tblW w:w="8034" w:type="dxa"/>
        <w:tblInd w:w="430" w:type="dxa"/>
        <w:tblCellMar>
          <w:top w:w="0" w:type="dxa"/>
          <w:left w:w="70" w:type="dxa"/>
          <w:bottom w:w="0" w:type="dxa"/>
          <w:right w:w="15" w:type="dxa"/>
        </w:tblCellMar>
        <w:tblLook w:val="04A0" w:firstRow="1" w:lastRow="0" w:firstColumn="1" w:lastColumn="0" w:noHBand="0" w:noVBand="1"/>
      </w:tblPr>
      <w:tblGrid>
        <w:gridCol w:w="1572"/>
        <w:gridCol w:w="992"/>
        <w:gridCol w:w="998"/>
        <w:gridCol w:w="1262"/>
        <w:gridCol w:w="1107"/>
        <w:gridCol w:w="991"/>
        <w:gridCol w:w="1112"/>
      </w:tblGrid>
      <w:tr w:rsidR="00FA7413">
        <w:trPr>
          <w:trHeight w:val="542"/>
        </w:trPr>
        <w:tc>
          <w:tcPr>
            <w:tcW w:w="1572" w:type="dxa"/>
            <w:tcBorders>
              <w:top w:val="nil"/>
              <w:left w:val="nil"/>
              <w:bottom w:val="single" w:sz="4" w:space="0" w:color="000000"/>
              <w:right w:val="nil"/>
            </w:tcBorders>
          </w:tcPr>
          <w:p w:rsidR="00FA7413" w:rsidRDefault="00D712A8">
            <w:pPr>
              <w:spacing w:after="0"/>
            </w:pPr>
            <w:r>
              <w:rPr>
                <w:b/>
                <w:sz w:val="24"/>
              </w:rPr>
              <w:t xml:space="preserve">Cantidades anuales </w:t>
            </w:r>
          </w:p>
        </w:tc>
        <w:tc>
          <w:tcPr>
            <w:tcW w:w="1990" w:type="dxa"/>
            <w:gridSpan w:val="2"/>
            <w:tcBorders>
              <w:top w:val="nil"/>
              <w:left w:val="nil"/>
              <w:bottom w:val="single" w:sz="4" w:space="0" w:color="000000"/>
              <w:right w:val="nil"/>
            </w:tcBorders>
          </w:tcPr>
          <w:p w:rsidR="00FA7413" w:rsidRDefault="00D712A8">
            <w:pPr>
              <w:spacing w:after="0"/>
              <w:ind w:right="123"/>
              <w:jc w:val="right"/>
            </w:pPr>
            <w:r>
              <w:rPr>
                <w:b/>
                <w:sz w:val="24"/>
              </w:rPr>
              <w:t xml:space="preserve">Ant. C1 </w:t>
            </w:r>
          </w:p>
          <w:p w:rsidR="00FA7413" w:rsidRDefault="00D712A8">
            <w:pPr>
              <w:tabs>
                <w:tab w:val="center" w:pos="1420"/>
              </w:tabs>
              <w:spacing w:after="0"/>
            </w:pPr>
            <w:r>
              <w:rPr>
                <w:b/>
                <w:sz w:val="24"/>
              </w:rPr>
              <w:t xml:space="preserve">SB C1 </w:t>
            </w:r>
            <w:r>
              <w:rPr>
                <w:b/>
                <w:sz w:val="24"/>
              </w:rPr>
              <w:tab/>
              <w:t xml:space="preserve">(5) </w:t>
            </w:r>
          </w:p>
        </w:tc>
        <w:tc>
          <w:tcPr>
            <w:tcW w:w="1262" w:type="dxa"/>
            <w:tcBorders>
              <w:top w:val="nil"/>
              <w:left w:val="nil"/>
              <w:bottom w:val="single" w:sz="4" w:space="0" w:color="000000"/>
              <w:right w:val="nil"/>
            </w:tcBorders>
          </w:tcPr>
          <w:p w:rsidR="00FA7413" w:rsidRDefault="00D712A8">
            <w:pPr>
              <w:spacing w:after="0"/>
              <w:ind w:right="14"/>
              <w:jc w:val="center"/>
            </w:pPr>
            <w:r>
              <w:rPr>
                <w:b/>
                <w:sz w:val="24"/>
              </w:rPr>
              <w:t xml:space="preserve">Pagas junio C1 </w:t>
            </w:r>
          </w:p>
        </w:tc>
        <w:tc>
          <w:tcPr>
            <w:tcW w:w="3210" w:type="dxa"/>
            <w:gridSpan w:val="3"/>
            <w:tcBorders>
              <w:top w:val="nil"/>
              <w:left w:val="nil"/>
              <w:bottom w:val="single" w:sz="4" w:space="0" w:color="000000"/>
              <w:right w:val="nil"/>
            </w:tcBorders>
          </w:tcPr>
          <w:p w:rsidR="00FA7413" w:rsidRDefault="00D712A8">
            <w:pPr>
              <w:spacing w:after="0"/>
              <w:ind w:left="29"/>
            </w:pPr>
            <w:r>
              <w:rPr>
                <w:b/>
                <w:sz w:val="24"/>
              </w:rPr>
              <w:t xml:space="preserve">Paga Dic. </w:t>
            </w:r>
          </w:p>
          <w:p w:rsidR="00FA7413" w:rsidRDefault="00D712A8">
            <w:pPr>
              <w:tabs>
                <w:tab w:val="center" w:pos="482"/>
                <w:tab w:val="center" w:pos="1531"/>
                <w:tab w:val="center" w:pos="2583"/>
              </w:tabs>
              <w:spacing w:after="0"/>
            </w:pPr>
            <w:r>
              <w:tab/>
            </w:r>
            <w:r>
              <w:rPr>
                <w:b/>
                <w:sz w:val="24"/>
              </w:rPr>
              <w:t xml:space="preserve">C1 </w:t>
            </w:r>
            <w:r>
              <w:rPr>
                <w:b/>
                <w:sz w:val="24"/>
              </w:rPr>
              <w:tab/>
              <w:t xml:space="preserve">CPT </w:t>
            </w:r>
            <w:r>
              <w:rPr>
                <w:b/>
                <w:sz w:val="24"/>
              </w:rPr>
              <w:tab/>
              <w:t xml:space="preserve">TOTAL </w:t>
            </w:r>
          </w:p>
        </w:tc>
      </w:tr>
      <w:tr w:rsidR="00FA7413">
        <w:trPr>
          <w:trHeight w:val="312"/>
        </w:trPr>
        <w:tc>
          <w:tcPr>
            <w:tcW w:w="1572"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año 2021 </w:t>
            </w:r>
          </w:p>
        </w:tc>
        <w:tc>
          <w:tcPr>
            <w:tcW w:w="992" w:type="dxa"/>
            <w:tcBorders>
              <w:top w:val="single" w:sz="4" w:space="0" w:color="000000"/>
              <w:left w:val="single" w:sz="4" w:space="0" w:color="000000"/>
              <w:bottom w:val="single" w:sz="4" w:space="0" w:color="000000"/>
              <w:right w:val="single" w:sz="4" w:space="0" w:color="000000"/>
            </w:tcBorders>
          </w:tcPr>
          <w:p w:rsidR="00FA7413" w:rsidRDefault="00D712A8">
            <w:pPr>
              <w:spacing w:after="0"/>
              <w:jc w:val="both"/>
            </w:pPr>
            <w:r>
              <w:rPr>
                <w:sz w:val="24"/>
              </w:rPr>
              <w:t xml:space="preserve">9.461,04 </w:t>
            </w:r>
          </w:p>
        </w:tc>
        <w:tc>
          <w:tcPr>
            <w:tcW w:w="998"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2"/>
              <w:jc w:val="both"/>
            </w:pPr>
            <w:r>
              <w:rPr>
                <w:sz w:val="24"/>
              </w:rPr>
              <w:t xml:space="preserve">1.731,00 </w:t>
            </w:r>
          </w:p>
        </w:tc>
        <w:tc>
          <w:tcPr>
            <w:tcW w:w="1262"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8"/>
              <w:jc w:val="center"/>
            </w:pPr>
            <w:r>
              <w:rPr>
                <w:sz w:val="24"/>
              </w:rPr>
              <w:t xml:space="preserve">1.566,20 </w:t>
            </w:r>
          </w:p>
        </w:tc>
        <w:tc>
          <w:tcPr>
            <w:tcW w:w="1107"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58"/>
            </w:pPr>
            <w:r>
              <w:rPr>
                <w:sz w:val="24"/>
              </w:rPr>
              <w:t xml:space="preserve">1.566,20 </w:t>
            </w:r>
          </w:p>
        </w:tc>
        <w:tc>
          <w:tcPr>
            <w:tcW w:w="991" w:type="dxa"/>
            <w:tcBorders>
              <w:top w:val="single" w:sz="4" w:space="0" w:color="000000"/>
              <w:left w:val="single" w:sz="4" w:space="0" w:color="000000"/>
              <w:bottom w:val="single" w:sz="4" w:space="0" w:color="000000"/>
              <w:right w:val="single" w:sz="4" w:space="0" w:color="000000"/>
            </w:tcBorders>
          </w:tcPr>
          <w:p w:rsidR="00FA7413" w:rsidRDefault="00D712A8">
            <w:pPr>
              <w:spacing w:after="0"/>
              <w:jc w:val="both"/>
            </w:pPr>
            <w:r>
              <w:rPr>
                <w:sz w:val="24"/>
              </w:rPr>
              <w:t xml:space="preserve">1.014,66 </w:t>
            </w:r>
          </w:p>
        </w:tc>
        <w:tc>
          <w:tcPr>
            <w:tcW w:w="1112" w:type="dxa"/>
            <w:tcBorders>
              <w:top w:val="single" w:sz="4" w:space="0" w:color="000000"/>
              <w:left w:val="single" w:sz="4" w:space="0" w:color="000000"/>
              <w:bottom w:val="single" w:sz="4" w:space="0" w:color="000000"/>
              <w:right w:val="single" w:sz="4" w:space="0" w:color="000000"/>
            </w:tcBorders>
          </w:tcPr>
          <w:p w:rsidR="00FA7413" w:rsidRDefault="00D712A8">
            <w:pPr>
              <w:spacing w:after="0"/>
              <w:jc w:val="both"/>
            </w:pPr>
            <w:r>
              <w:rPr>
                <w:sz w:val="24"/>
              </w:rPr>
              <w:t xml:space="preserve">15.339,10 </w:t>
            </w:r>
          </w:p>
        </w:tc>
      </w:tr>
    </w:tbl>
    <w:p w:rsidR="00FA7413" w:rsidRDefault="00D712A8">
      <w:pPr>
        <w:spacing w:after="95"/>
        <w:ind w:left="360"/>
      </w:pPr>
      <w:r>
        <w:rPr>
          <w:rFonts w:ascii="Arial" w:eastAsia="Arial" w:hAnsi="Arial" w:cs="Arial"/>
        </w:rPr>
        <w:t xml:space="preserve"> </w:t>
      </w:r>
    </w:p>
    <w:p w:rsidR="00FA7413" w:rsidRDefault="00D712A8">
      <w:pPr>
        <w:spacing w:after="138" w:line="248" w:lineRule="auto"/>
        <w:ind w:left="355" w:right="64" w:hanging="10"/>
        <w:jc w:val="both"/>
      </w:pPr>
      <w:r>
        <w:rPr>
          <w:rFonts w:ascii="Arial" w:eastAsia="Arial" w:hAnsi="Arial" w:cs="Arial"/>
          <w:b/>
        </w:rPr>
        <w:t>SEXTO</w:t>
      </w:r>
      <w:r>
        <w:rPr>
          <w:rFonts w:ascii="Arial" w:eastAsia="Arial" w:hAnsi="Arial" w:cs="Arial"/>
        </w:rPr>
        <w:t xml:space="preserve">. - </w:t>
      </w:r>
      <w:r>
        <w:rPr>
          <w:rFonts w:ascii="Arial" w:eastAsia="Arial" w:hAnsi="Arial" w:cs="Arial"/>
        </w:rPr>
        <w:t>Establecer un cálculo de Complemento Personal Transitorio (CPT) que incluye las diferencias entre las retribuciones percibidas y las devengadas en base a la estructura retributiva en el punto anterior, excluyendo las cantidades correspondientes al concepto</w:t>
      </w:r>
      <w:r>
        <w:rPr>
          <w:rFonts w:ascii="Arial" w:eastAsia="Arial" w:hAnsi="Arial" w:cs="Arial"/>
        </w:rPr>
        <w:t xml:space="preserve"> antigüedad y antigüedad pagas extras, esto es: </w:t>
      </w:r>
    </w:p>
    <w:p w:rsidR="00FA7413" w:rsidRDefault="00D712A8">
      <w:pPr>
        <w:spacing w:after="0"/>
        <w:ind w:left="495" w:hanging="10"/>
      </w:pPr>
      <w:r>
        <w:rPr>
          <w:b/>
          <w:sz w:val="24"/>
        </w:rPr>
        <w:t>Salarios reconocidos en nó-</w:t>
      </w:r>
    </w:p>
    <w:p w:rsidR="00FA7413" w:rsidRDefault="00D712A8">
      <w:pPr>
        <w:tabs>
          <w:tab w:val="center" w:pos="751"/>
          <w:tab w:val="center" w:pos="4089"/>
          <w:tab w:val="center" w:pos="5175"/>
        </w:tabs>
        <w:spacing w:after="0"/>
      </w:pPr>
      <w:r>
        <w:tab/>
      </w:r>
      <w:r>
        <w:rPr>
          <w:b/>
          <w:sz w:val="24"/>
        </w:rPr>
        <w:t xml:space="preserve">mina </w:t>
      </w:r>
      <w:r>
        <w:rPr>
          <w:b/>
          <w:sz w:val="24"/>
        </w:rPr>
        <w:tab/>
      </w:r>
      <w:r>
        <w:rPr>
          <w:sz w:val="24"/>
        </w:rPr>
        <w:t xml:space="preserve">mes </w:t>
      </w:r>
      <w:r>
        <w:rPr>
          <w:sz w:val="24"/>
        </w:rPr>
        <w:tab/>
        <w:t xml:space="preserve">año </w:t>
      </w:r>
    </w:p>
    <w:tbl>
      <w:tblPr>
        <w:tblStyle w:val="TableGrid"/>
        <w:tblW w:w="5315" w:type="dxa"/>
        <w:tblInd w:w="430" w:type="dxa"/>
        <w:tblCellMar>
          <w:top w:w="60" w:type="dxa"/>
          <w:left w:w="70" w:type="dxa"/>
          <w:bottom w:w="0" w:type="dxa"/>
          <w:right w:w="30" w:type="dxa"/>
        </w:tblCellMar>
        <w:tblLook w:val="04A0" w:firstRow="1" w:lastRow="0" w:firstColumn="1" w:lastColumn="0" w:noHBand="0" w:noVBand="1"/>
      </w:tblPr>
      <w:tblGrid>
        <w:gridCol w:w="3145"/>
        <w:gridCol w:w="1030"/>
        <w:gridCol w:w="1140"/>
      </w:tblGrid>
      <w:tr w:rsidR="00FA7413">
        <w:trPr>
          <w:trHeight w:val="310"/>
        </w:trPr>
        <w:tc>
          <w:tcPr>
            <w:tcW w:w="3145"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año 2019 </w:t>
            </w:r>
          </w:p>
        </w:tc>
        <w:tc>
          <w:tcPr>
            <w:tcW w:w="103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19"/>
              <w:jc w:val="both"/>
            </w:pPr>
            <w:r>
              <w:rPr>
                <w:sz w:val="24"/>
              </w:rPr>
              <w:t xml:space="preserve">1.081,69 </w:t>
            </w:r>
          </w:p>
        </w:tc>
        <w:tc>
          <w:tcPr>
            <w:tcW w:w="114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14"/>
              <w:jc w:val="both"/>
            </w:pPr>
            <w:r>
              <w:rPr>
                <w:sz w:val="24"/>
              </w:rPr>
              <w:t xml:space="preserve">12.980,28 </w:t>
            </w:r>
          </w:p>
        </w:tc>
      </w:tr>
      <w:tr w:rsidR="00FA7413">
        <w:trPr>
          <w:trHeight w:val="310"/>
        </w:trPr>
        <w:tc>
          <w:tcPr>
            <w:tcW w:w="3145"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año 2020 </w:t>
            </w:r>
          </w:p>
        </w:tc>
        <w:tc>
          <w:tcPr>
            <w:tcW w:w="103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19"/>
              <w:jc w:val="both"/>
            </w:pPr>
            <w:r>
              <w:rPr>
                <w:sz w:val="24"/>
              </w:rPr>
              <w:t xml:space="preserve">1.103,32 </w:t>
            </w:r>
          </w:p>
        </w:tc>
        <w:tc>
          <w:tcPr>
            <w:tcW w:w="114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14"/>
              <w:jc w:val="both"/>
            </w:pPr>
            <w:r>
              <w:rPr>
                <w:sz w:val="24"/>
              </w:rPr>
              <w:t xml:space="preserve">13.239,84 </w:t>
            </w:r>
          </w:p>
        </w:tc>
      </w:tr>
      <w:tr w:rsidR="00FA7413">
        <w:trPr>
          <w:trHeight w:val="312"/>
        </w:trPr>
        <w:tc>
          <w:tcPr>
            <w:tcW w:w="3145"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año 2021 </w:t>
            </w:r>
          </w:p>
        </w:tc>
        <w:tc>
          <w:tcPr>
            <w:tcW w:w="103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19"/>
              <w:jc w:val="both"/>
            </w:pPr>
            <w:r>
              <w:rPr>
                <w:sz w:val="24"/>
              </w:rPr>
              <w:t xml:space="preserve">1.113,25 </w:t>
            </w:r>
          </w:p>
        </w:tc>
        <w:tc>
          <w:tcPr>
            <w:tcW w:w="114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14"/>
              <w:jc w:val="both"/>
            </w:pPr>
            <w:r>
              <w:rPr>
                <w:sz w:val="24"/>
              </w:rPr>
              <w:t xml:space="preserve">13.359,00 </w:t>
            </w:r>
          </w:p>
        </w:tc>
      </w:tr>
    </w:tbl>
    <w:p w:rsidR="00FA7413" w:rsidRDefault="00D712A8">
      <w:pPr>
        <w:spacing w:after="122"/>
        <w:ind w:left="360"/>
      </w:pPr>
      <w:r>
        <w:rPr>
          <w:rFonts w:ascii="Arial" w:eastAsia="Arial" w:hAnsi="Arial" w:cs="Arial"/>
        </w:rPr>
        <w:t xml:space="preserve"> </w:t>
      </w:r>
    </w:p>
    <w:p w:rsidR="00FA7413" w:rsidRDefault="00D712A8">
      <w:pPr>
        <w:spacing w:after="0"/>
        <w:ind w:left="495" w:hanging="10"/>
      </w:pPr>
      <w:r>
        <w:rPr>
          <w:b/>
          <w:sz w:val="24"/>
        </w:rPr>
        <w:t xml:space="preserve">Cantidades mensuales calculadas en base a lo establecido en las </w:t>
      </w:r>
    </w:p>
    <w:p w:rsidR="00FA7413" w:rsidRDefault="00D712A8">
      <w:pPr>
        <w:tabs>
          <w:tab w:val="center" w:pos="760"/>
          <w:tab w:val="center" w:pos="7875"/>
        </w:tabs>
        <w:spacing w:after="0"/>
      </w:pPr>
      <w:r>
        <w:tab/>
      </w:r>
      <w:r>
        <w:rPr>
          <w:b/>
          <w:sz w:val="24"/>
        </w:rPr>
        <w:t xml:space="preserve">LL.PP </w:t>
      </w:r>
      <w:r>
        <w:rPr>
          <w:b/>
          <w:sz w:val="24"/>
        </w:rPr>
        <w:tab/>
        <w:t xml:space="preserve">totales (*) </w:t>
      </w:r>
    </w:p>
    <w:tbl>
      <w:tblPr>
        <w:tblStyle w:val="TableGrid"/>
        <w:tblW w:w="8366" w:type="dxa"/>
        <w:tblInd w:w="430" w:type="dxa"/>
        <w:tblCellMar>
          <w:top w:w="60" w:type="dxa"/>
          <w:left w:w="70" w:type="dxa"/>
          <w:bottom w:w="0" w:type="dxa"/>
          <w:right w:w="115" w:type="dxa"/>
        </w:tblCellMar>
        <w:tblLook w:val="04A0" w:firstRow="1" w:lastRow="0" w:firstColumn="1" w:lastColumn="0" w:noHBand="0" w:noVBand="1"/>
      </w:tblPr>
      <w:tblGrid>
        <w:gridCol w:w="6522"/>
        <w:gridCol w:w="1844"/>
      </w:tblGrid>
      <w:tr w:rsidR="00FA7413">
        <w:trPr>
          <w:trHeight w:val="310"/>
        </w:trPr>
        <w:tc>
          <w:tcPr>
            <w:tcW w:w="6522"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año 2019 (julio-diciembre) </w:t>
            </w:r>
          </w:p>
        </w:tc>
        <w:tc>
          <w:tcPr>
            <w:tcW w:w="184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46"/>
              <w:jc w:val="center"/>
            </w:pPr>
            <w:r>
              <w:rPr>
                <w:sz w:val="24"/>
              </w:rPr>
              <w:t xml:space="preserve">1.005,06 </w:t>
            </w:r>
          </w:p>
        </w:tc>
      </w:tr>
      <w:tr w:rsidR="00FA7413">
        <w:trPr>
          <w:trHeight w:val="310"/>
        </w:trPr>
        <w:tc>
          <w:tcPr>
            <w:tcW w:w="6522"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año 2020 </w:t>
            </w:r>
          </w:p>
        </w:tc>
        <w:tc>
          <w:tcPr>
            <w:tcW w:w="184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46"/>
              <w:jc w:val="center"/>
            </w:pPr>
            <w:r>
              <w:rPr>
                <w:sz w:val="24"/>
              </w:rPr>
              <w:t xml:space="preserve">1.021,85 </w:t>
            </w:r>
          </w:p>
        </w:tc>
      </w:tr>
      <w:tr w:rsidR="00FA7413">
        <w:trPr>
          <w:trHeight w:val="312"/>
        </w:trPr>
        <w:tc>
          <w:tcPr>
            <w:tcW w:w="6522"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año 2021 </w:t>
            </w:r>
          </w:p>
        </w:tc>
        <w:tc>
          <w:tcPr>
            <w:tcW w:w="184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46"/>
              <w:jc w:val="center"/>
            </w:pPr>
            <w:r>
              <w:rPr>
                <w:sz w:val="24"/>
              </w:rPr>
              <w:t xml:space="preserve">1.028,70 </w:t>
            </w:r>
          </w:p>
        </w:tc>
      </w:tr>
    </w:tbl>
    <w:p w:rsidR="00FA7413" w:rsidRDefault="00D712A8">
      <w:pPr>
        <w:spacing w:after="0"/>
        <w:ind w:left="495" w:hanging="10"/>
      </w:pPr>
      <w:r>
        <w:rPr>
          <w:b/>
          <w:sz w:val="24"/>
        </w:rPr>
        <w:t xml:space="preserve">Cantidades anuales calculadas en base a lo establecido en las </w:t>
      </w:r>
    </w:p>
    <w:p w:rsidR="00FA7413" w:rsidRDefault="00D712A8">
      <w:pPr>
        <w:tabs>
          <w:tab w:val="center" w:pos="760"/>
          <w:tab w:val="center" w:pos="7875"/>
        </w:tabs>
        <w:spacing w:after="0"/>
      </w:pPr>
      <w:r>
        <w:rPr>
          <w:noProof/>
        </w:rPr>
        <mc:AlternateContent>
          <mc:Choice Requires="wpg">
            <w:drawing>
              <wp:anchor distT="0" distB="0" distL="114300" distR="114300" simplePos="0" relativeHeight="251830272"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36708" name="Group 236708"/>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22379" name="Rectangle 22379"/>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22380" name="Rectangle 22380"/>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166 de 180 </w:t>
                              </w:r>
                            </w:p>
                          </w:txbxContent>
                        </wps:txbx>
                        <wps:bodyPr horzOverflow="overflow" vert="horz" lIns="0" tIns="0" rIns="0" bIns="0" rtlCol="0">
                          <a:noAutofit/>
                        </wps:bodyPr>
                      </wps:wsp>
                    </wpg:wgp>
                  </a:graphicData>
                </a:graphic>
              </wp:anchor>
            </w:drawing>
          </mc:Choice>
          <mc:Fallback xmlns:a="http://schemas.openxmlformats.org/drawingml/2006/main">
            <w:pict>
              <v:group id="Group 236708" style="width:12.7031pt;height:275.586pt;position:absolute;mso-position-horizontal-relative:page;mso-position-horizontal:absolute;margin-left:682.278pt;mso-position-vertical-relative:page;margin-top:536.334pt;" coordsize="1613,34999">
                <v:rect id="Rectangle 22379"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22380"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166 de 180 </w:t>
                        </w:r>
                      </w:p>
                    </w:txbxContent>
                  </v:textbox>
                </v:rect>
                <w10:wrap type="square"/>
              </v:group>
            </w:pict>
          </mc:Fallback>
        </mc:AlternateContent>
      </w:r>
      <w:r>
        <w:tab/>
      </w:r>
      <w:r>
        <w:rPr>
          <w:b/>
          <w:sz w:val="24"/>
        </w:rPr>
        <w:t xml:space="preserve">LL.PP </w:t>
      </w:r>
      <w:r>
        <w:rPr>
          <w:b/>
          <w:sz w:val="24"/>
        </w:rPr>
        <w:tab/>
        <w:t xml:space="preserve">totales (*) </w:t>
      </w:r>
    </w:p>
    <w:tbl>
      <w:tblPr>
        <w:tblStyle w:val="TableGrid"/>
        <w:tblW w:w="8366" w:type="dxa"/>
        <w:tblInd w:w="430" w:type="dxa"/>
        <w:tblCellMar>
          <w:top w:w="60" w:type="dxa"/>
          <w:left w:w="70" w:type="dxa"/>
          <w:bottom w:w="0" w:type="dxa"/>
          <w:right w:w="115" w:type="dxa"/>
        </w:tblCellMar>
        <w:tblLook w:val="04A0" w:firstRow="1" w:lastRow="0" w:firstColumn="1" w:lastColumn="0" w:noHBand="0" w:noVBand="1"/>
      </w:tblPr>
      <w:tblGrid>
        <w:gridCol w:w="6522"/>
        <w:gridCol w:w="1844"/>
      </w:tblGrid>
      <w:tr w:rsidR="00FA7413">
        <w:trPr>
          <w:trHeight w:val="310"/>
        </w:trPr>
        <w:tc>
          <w:tcPr>
            <w:tcW w:w="6522"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año 2019 (julio-diciembre) </w:t>
            </w:r>
          </w:p>
        </w:tc>
        <w:tc>
          <w:tcPr>
            <w:tcW w:w="184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43"/>
              <w:jc w:val="center"/>
            </w:pPr>
            <w:r>
              <w:rPr>
                <w:sz w:val="24"/>
              </w:rPr>
              <w:t xml:space="preserve">13.983,88 </w:t>
            </w:r>
          </w:p>
        </w:tc>
      </w:tr>
      <w:tr w:rsidR="00FA7413">
        <w:trPr>
          <w:trHeight w:val="310"/>
        </w:trPr>
        <w:tc>
          <w:tcPr>
            <w:tcW w:w="6522"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año 2020 </w:t>
            </w:r>
          </w:p>
        </w:tc>
        <w:tc>
          <w:tcPr>
            <w:tcW w:w="184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43"/>
              <w:jc w:val="center"/>
            </w:pPr>
            <w:r>
              <w:rPr>
                <w:sz w:val="24"/>
              </w:rPr>
              <w:t xml:space="preserve">14.224,48 </w:t>
            </w:r>
          </w:p>
        </w:tc>
      </w:tr>
      <w:tr w:rsidR="00FA7413">
        <w:trPr>
          <w:trHeight w:val="312"/>
        </w:trPr>
        <w:tc>
          <w:tcPr>
            <w:tcW w:w="6522"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año 2021 </w:t>
            </w:r>
          </w:p>
        </w:tc>
        <w:tc>
          <w:tcPr>
            <w:tcW w:w="184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43"/>
              <w:jc w:val="center"/>
            </w:pPr>
            <w:r>
              <w:rPr>
                <w:sz w:val="24"/>
              </w:rPr>
              <w:t xml:space="preserve">14.324,44 </w:t>
            </w:r>
          </w:p>
        </w:tc>
      </w:tr>
    </w:tbl>
    <w:p w:rsidR="00FA7413" w:rsidRDefault="00D712A8">
      <w:pPr>
        <w:spacing w:after="98"/>
        <w:ind w:left="360"/>
      </w:pPr>
      <w:r>
        <w:rPr>
          <w:rFonts w:ascii="Arial" w:eastAsia="Arial" w:hAnsi="Arial" w:cs="Arial"/>
        </w:rPr>
        <w:t xml:space="preserve"> </w:t>
      </w:r>
    </w:p>
    <w:p w:rsidR="00FA7413" w:rsidRDefault="00D712A8">
      <w:pPr>
        <w:spacing w:after="158" w:line="248" w:lineRule="auto"/>
        <w:ind w:left="355" w:right="64" w:hanging="10"/>
        <w:jc w:val="both"/>
      </w:pPr>
      <w:r>
        <w:rPr>
          <w:rFonts w:ascii="Arial" w:eastAsia="Arial" w:hAnsi="Arial" w:cs="Arial"/>
        </w:rPr>
        <w:t xml:space="preserve">Diferencias salariales entre las cantidades percibidas y las devengadas por aplicación de la estructura salarial indicada en el punto 4º del presente informe y </w:t>
      </w:r>
      <w:r>
        <w:rPr>
          <w:rFonts w:ascii="Arial" w:eastAsia="Arial" w:hAnsi="Arial" w:cs="Arial"/>
        </w:rPr>
        <w:t xml:space="preserve">que darán lugar a las cantidades correspondientes a atrasos desde el mes de octubre de 2019 hasta el mes de marzo de 2021, así como al reconocimiento del abono de cantidades en concepto de CPT a partir de la nómina del mes de octubre de 2021: </w:t>
      </w:r>
    </w:p>
    <w:p w:rsidR="00FA7413" w:rsidRDefault="00D712A8">
      <w:pPr>
        <w:tabs>
          <w:tab w:val="center" w:pos="1614"/>
          <w:tab w:val="center" w:pos="7530"/>
        </w:tabs>
        <w:spacing w:after="0"/>
      </w:pPr>
      <w:r>
        <w:tab/>
      </w:r>
      <w:r>
        <w:rPr>
          <w:b/>
          <w:sz w:val="24"/>
        </w:rPr>
        <w:t xml:space="preserve">Cantidades </w:t>
      </w:r>
      <w:r>
        <w:rPr>
          <w:b/>
          <w:sz w:val="24"/>
        </w:rPr>
        <w:t xml:space="preserve">mensuales </w:t>
      </w:r>
      <w:r>
        <w:rPr>
          <w:b/>
          <w:sz w:val="24"/>
        </w:rPr>
        <w:tab/>
        <w:t xml:space="preserve">CPT </w:t>
      </w:r>
    </w:p>
    <w:tbl>
      <w:tblPr>
        <w:tblStyle w:val="TableGrid"/>
        <w:tblW w:w="7842" w:type="dxa"/>
        <w:tblInd w:w="430" w:type="dxa"/>
        <w:tblCellMar>
          <w:top w:w="60" w:type="dxa"/>
          <w:left w:w="70" w:type="dxa"/>
          <w:bottom w:w="0" w:type="dxa"/>
          <w:right w:w="115" w:type="dxa"/>
        </w:tblCellMar>
        <w:tblLook w:val="04A0" w:firstRow="1" w:lastRow="0" w:firstColumn="1" w:lastColumn="0" w:noHBand="0" w:noVBand="1"/>
      </w:tblPr>
      <w:tblGrid>
        <w:gridCol w:w="6361"/>
        <w:gridCol w:w="1481"/>
      </w:tblGrid>
      <w:tr w:rsidR="00FA7413">
        <w:trPr>
          <w:trHeight w:val="310"/>
        </w:trPr>
        <w:tc>
          <w:tcPr>
            <w:tcW w:w="6361"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año 2021 </w:t>
            </w:r>
          </w:p>
        </w:tc>
        <w:tc>
          <w:tcPr>
            <w:tcW w:w="148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44"/>
              <w:jc w:val="center"/>
            </w:pPr>
            <w:r>
              <w:rPr>
                <w:sz w:val="24"/>
              </w:rPr>
              <w:t xml:space="preserve">84,56 </w:t>
            </w:r>
          </w:p>
        </w:tc>
      </w:tr>
      <w:tr w:rsidR="00FA7413">
        <w:trPr>
          <w:trHeight w:val="310"/>
        </w:trPr>
        <w:tc>
          <w:tcPr>
            <w:tcW w:w="6361" w:type="dxa"/>
            <w:tcBorders>
              <w:top w:val="single" w:sz="4" w:space="0" w:color="000000"/>
              <w:left w:val="nil"/>
              <w:bottom w:val="single" w:sz="4" w:space="0" w:color="000000"/>
              <w:right w:val="nil"/>
            </w:tcBorders>
          </w:tcPr>
          <w:p w:rsidR="00FA7413" w:rsidRDefault="00D712A8">
            <w:pPr>
              <w:spacing w:after="0"/>
            </w:pPr>
            <w:r>
              <w:rPr>
                <w:b/>
                <w:sz w:val="24"/>
              </w:rPr>
              <w:t xml:space="preserve">Cantidades anuales </w:t>
            </w:r>
          </w:p>
        </w:tc>
        <w:tc>
          <w:tcPr>
            <w:tcW w:w="1481" w:type="dxa"/>
            <w:tcBorders>
              <w:top w:val="single" w:sz="4" w:space="0" w:color="000000"/>
              <w:left w:val="nil"/>
              <w:bottom w:val="single" w:sz="4" w:space="0" w:color="000000"/>
              <w:right w:val="nil"/>
            </w:tcBorders>
          </w:tcPr>
          <w:p w:rsidR="00FA7413" w:rsidRDefault="00D712A8">
            <w:pPr>
              <w:spacing w:after="0"/>
              <w:ind w:left="42"/>
              <w:jc w:val="center"/>
            </w:pPr>
            <w:r>
              <w:rPr>
                <w:b/>
                <w:sz w:val="24"/>
              </w:rPr>
              <w:t xml:space="preserve">CPT </w:t>
            </w:r>
          </w:p>
        </w:tc>
      </w:tr>
      <w:tr w:rsidR="00FA7413">
        <w:trPr>
          <w:trHeight w:val="312"/>
        </w:trPr>
        <w:tc>
          <w:tcPr>
            <w:tcW w:w="6361"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año 2021 </w:t>
            </w:r>
          </w:p>
        </w:tc>
        <w:tc>
          <w:tcPr>
            <w:tcW w:w="148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44"/>
              <w:jc w:val="center"/>
            </w:pPr>
            <w:r>
              <w:rPr>
                <w:sz w:val="24"/>
              </w:rPr>
              <w:t xml:space="preserve">1.014,66 </w:t>
            </w:r>
          </w:p>
        </w:tc>
      </w:tr>
    </w:tbl>
    <w:p w:rsidR="00FA7413" w:rsidRDefault="00D712A8">
      <w:pPr>
        <w:spacing w:after="95"/>
        <w:ind w:left="360"/>
      </w:pPr>
      <w:r>
        <w:rPr>
          <w:rFonts w:ascii="Arial" w:eastAsia="Arial" w:hAnsi="Arial" w:cs="Arial"/>
        </w:rPr>
        <w:t xml:space="preserve"> </w:t>
      </w:r>
    </w:p>
    <w:p w:rsidR="00FA7413" w:rsidRDefault="00D712A8">
      <w:pPr>
        <w:spacing w:after="109" w:line="248" w:lineRule="auto"/>
        <w:ind w:left="355" w:right="64" w:hanging="10"/>
        <w:jc w:val="both"/>
      </w:pPr>
      <w:r>
        <w:rPr>
          <w:rFonts w:ascii="Arial" w:eastAsia="Arial" w:hAnsi="Arial" w:cs="Arial"/>
          <w:b/>
        </w:rPr>
        <w:t>SEPTIMO</w:t>
      </w:r>
      <w:r>
        <w:rPr>
          <w:rFonts w:ascii="Arial" w:eastAsia="Arial" w:hAnsi="Arial" w:cs="Arial"/>
        </w:rPr>
        <w:t xml:space="preserve">. - </w:t>
      </w:r>
      <w:r>
        <w:rPr>
          <w:rFonts w:ascii="Arial" w:eastAsia="Arial" w:hAnsi="Arial" w:cs="Arial"/>
        </w:rPr>
        <w:t xml:space="preserve">Asimismo, corresponde el reconocimiento al empleado de las cantidades devengadas a partir de la fecha de cálculo de la sentencia indicada (septiembre 2019) hasta el día de la fecha con el cálculo de las cantidades: </w:t>
      </w:r>
    </w:p>
    <w:p w:rsidR="00FA7413" w:rsidRDefault="00D712A8">
      <w:pPr>
        <w:spacing w:after="10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147"/>
        <w:ind w:left="360"/>
      </w:pPr>
      <w:r>
        <w:rPr>
          <w:rFonts w:ascii="Arial" w:eastAsia="Arial" w:hAnsi="Arial" w:cs="Arial"/>
        </w:rPr>
        <w:t xml:space="preserve"> </w:t>
      </w:r>
    </w:p>
    <w:p w:rsidR="00FA7413" w:rsidRDefault="00D712A8">
      <w:pPr>
        <w:tabs>
          <w:tab w:val="center" w:pos="3013"/>
          <w:tab w:val="center" w:pos="6220"/>
        </w:tabs>
        <w:spacing w:after="0"/>
      </w:pPr>
      <w:r>
        <w:rPr>
          <w:noProof/>
        </w:rPr>
        <mc:AlternateContent>
          <mc:Choice Requires="wpg">
            <w:drawing>
              <wp:anchor distT="0" distB="0" distL="114300" distR="114300" simplePos="0" relativeHeight="251831296"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37589" name="Group 237589"/>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22802" name="Rectangle 22802"/>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Cód. Validación: 946JAL4TJAGYND</w:t>
                              </w:r>
                              <w:r>
                                <w:rPr>
                                  <w:rFonts w:ascii="Arial" w:eastAsia="Arial" w:hAnsi="Arial" w:cs="Arial"/>
                                  <w:sz w:val="12"/>
                                </w:rPr>
                                <w:t xml:space="preserve">DM76ZM7ZAYZ | Verificación: https://candelaria.sedelectronica.es/ </w:t>
                              </w:r>
                            </w:p>
                          </w:txbxContent>
                        </wps:txbx>
                        <wps:bodyPr horzOverflow="overflow" vert="horz" lIns="0" tIns="0" rIns="0" bIns="0" rtlCol="0">
                          <a:noAutofit/>
                        </wps:bodyPr>
                      </wps:wsp>
                      <wps:wsp>
                        <wps:cNvPr id="22803" name="Rectangle 22803"/>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167 de 180 </w:t>
                              </w:r>
                            </w:p>
                          </w:txbxContent>
                        </wps:txbx>
                        <wps:bodyPr horzOverflow="overflow" vert="horz" lIns="0" tIns="0" rIns="0" bIns="0" rtlCol="0">
                          <a:noAutofit/>
                        </wps:bodyPr>
                      </wps:wsp>
                    </wpg:wgp>
                  </a:graphicData>
                </a:graphic>
              </wp:anchor>
            </w:drawing>
          </mc:Choice>
          <mc:Fallback xmlns:a="http://schemas.openxmlformats.org/drawingml/2006/main">
            <w:pict>
              <v:group id="Group 237589" style="width:12.7031pt;height:275.586pt;position:absolute;mso-position-horizontal-relative:page;mso-position-horizontal:absolute;margin-left:682.278pt;mso-position-vertical-relative:page;margin-top:536.334pt;" coordsize="1613,34999">
                <v:rect id="Rectangle 22802"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22803"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167 de 180 </w:t>
                        </w:r>
                      </w:p>
                    </w:txbxContent>
                  </v:textbox>
                </v:rect>
                <w10:wrap type="square"/>
              </v:group>
            </w:pict>
          </mc:Fallback>
        </mc:AlternateContent>
      </w:r>
      <w:r>
        <w:tab/>
      </w:r>
      <w:r>
        <w:rPr>
          <w:b/>
          <w:sz w:val="24"/>
        </w:rPr>
        <w:t xml:space="preserve">A partir del tramo de sentencia hasta la actualidad </w:t>
      </w:r>
      <w:r>
        <w:rPr>
          <w:b/>
          <w:sz w:val="24"/>
        </w:rPr>
        <w:tab/>
        <w:t xml:space="preserve"> </w:t>
      </w:r>
    </w:p>
    <w:tbl>
      <w:tblPr>
        <w:tblStyle w:val="TableGrid"/>
        <w:tblW w:w="8963" w:type="dxa"/>
        <w:tblInd w:w="430" w:type="dxa"/>
        <w:tblCellMar>
          <w:top w:w="60" w:type="dxa"/>
          <w:left w:w="70" w:type="dxa"/>
          <w:bottom w:w="0" w:type="dxa"/>
          <w:right w:w="18" w:type="dxa"/>
        </w:tblCellMar>
        <w:tblLook w:val="04A0" w:firstRow="1" w:lastRow="0" w:firstColumn="1" w:lastColumn="0" w:noHBand="0" w:noVBand="1"/>
      </w:tblPr>
      <w:tblGrid>
        <w:gridCol w:w="5723"/>
        <w:gridCol w:w="3241"/>
      </w:tblGrid>
      <w:tr w:rsidR="00FA7413">
        <w:trPr>
          <w:trHeight w:val="310"/>
        </w:trPr>
        <w:tc>
          <w:tcPr>
            <w:tcW w:w="572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oct-19 </w:t>
            </w:r>
          </w:p>
        </w:tc>
        <w:tc>
          <w:tcPr>
            <w:tcW w:w="324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331,78 </w:t>
            </w:r>
          </w:p>
        </w:tc>
      </w:tr>
      <w:tr w:rsidR="00FA7413">
        <w:trPr>
          <w:trHeight w:val="310"/>
        </w:trPr>
        <w:tc>
          <w:tcPr>
            <w:tcW w:w="572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nov-19 </w:t>
            </w:r>
          </w:p>
        </w:tc>
        <w:tc>
          <w:tcPr>
            <w:tcW w:w="324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331,78 </w:t>
            </w:r>
          </w:p>
        </w:tc>
      </w:tr>
      <w:tr w:rsidR="00FA7413">
        <w:trPr>
          <w:trHeight w:val="310"/>
        </w:trPr>
        <w:tc>
          <w:tcPr>
            <w:tcW w:w="572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dic-19 </w:t>
            </w:r>
          </w:p>
        </w:tc>
        <w:tc>
          <w:tcPr>
            <w:tcW w:w="324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331,78 </w:t>
            </w:r>
          </w:p>
        </w:tc>
      </w:tr>
      <w:tr w:rsidR="00FA7413">
        <w:trPr>
          <w:trHeight w:val="310"/>
        </w:trPr>
        <w:tc>
          <w:tcPr>
            <w:tcW w:w="572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ene-20 </w:t>
            </w:r>
          </w:p>
        </w:tc>
        <w:tc>
          <w:tcPr>
            <w:tcW w:w="324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331,78 </w:t>
            </w:r>
          </w:p>
        </w:tc>
      </w:tr>
      <w:tr w:rsidR="00FA7413">
        <w:trPr>
          <w:trHeight w:val="310"/>
        </w:trPr>
        <w:tc>
          <w:tcPr>
            <w:tcW w:w="572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feb-20 </w:t>
            </w:r>
          </w:p>
        </w:tc>
        <w:tc>
          <w:tcPr>
            <w:tcW w:w="324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331,78 </w:t>
            </w:r>
          </w:p>
        </w:tc>
      </w:tr>
      <w:tr w:rsidR="00FA7413">
        <w:trPr>
          <w:trHeight w:val="312"/>
        </w:trPr>
        <w:tc>
          <w:tcPr>
            <w:tcW w:w="572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mar-20 </w:t>
            </w:r>
          </w:p>
        </w:tc>
        <w:tc>
          <w:tcPr>
            <w:tcW w:w="324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331,78 </w:t>
            </w:r>
          </w:p>
        </w:tc>
      </w:tr>
      <w:tr w:rsidR="00FA7413">
        <w:trPr>
          <w:trHeight w:val="310"/>
        </w:trPr>
        <w:tc>
          <w:tcPr>
            <w:tcW w:w="572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abr-20 </w:t>
            </w:r>
          </w:p>
        </w:tc>
        <w:tc>
          <w:tcPr>
            <w:tcW w:w="324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331,78 </w:t>
            </w:r>
          </w:p>
        </w:tc>
      </w:tr>
      <w:tr w:rsidR="00FA7413">
        <w:trPr>
          <w:trHeight w:val="310"/>
        </w:trPr>
        <w:tc>
          <w:tcPr>
            <w:tcW w:w="572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may-20 </w:t>
            </w:r>
          </w:p>
        </w:tc>
        <w:tc>
          <w:tcPr>
            <w:tcW w:w="324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331,78 </w:t>
            </w:r>
          </w:p>
        </w:tc>
      </w:tr>
      <w:tr w:rsidR="00FA7413">
        <w:trPr>
          <w:trHeight w:val="310"/>
        </w:trPr>
        <w:tc>
          <w:tcPr>
            <w:tcW w:w="572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jun-20 </w:t>
            </w:r>
          </w:p>
        </w:tc>
        <w:tc>
          <w:tcPr>
            <w:tcW w:w="324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331,78 </w:t>
            </w:r>
          </w:p>
        </w:tc>
      </w:tr>
      <w:tr w:rsidR="00FA7413">
        <w:trPr>
          <w:trHeight w:val="310"/>
        </w:trPr>
        <w:tc>
          <w:tcPr>
            <w:tcW w:w="572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jul-20 </w:t>
            </w:r>
          </w:p>
        </w:tc>
        <w:tc>
          <w:tcPr>
            <w:tcW w:w="324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331,78 </w:t>
            </w:r>
          </w:p>
        </w:tc>
      </w:tr>
      <w:tr w:rsidR="00FA7413">
        <w:trPr>
          <w:trHeight w:val="310"/>
        </w:trPr>
        <w:tc>
          <w:tcPr>
            <w:tcW w:w="572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ago-20 </w:t>
            </w:r>
          </w:p>
        </w:tc>
        <w:tc>
          <w:tcPr>
            <w:tcW w:w="324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331,78 </w:t>
            </w:r>
          </w:p>
        </w:tc>
      </w:tr>
      <w:tr w:rsidR="00FA7413">
        <w:trPr>
          <w:trHeight w:val="312"/>
        </w:trPr>
        <w:tc>
          <w:tcPr>
            <w:tcW w:w="572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sep-20 </w:t>
            </w:r>
          </w:p>
        </w:tc>
        <w:tc>
          <w:tcPr>
            <w:tcW w:w="324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331,78 </w:t>
            </w:r>
          </w:p>
        </w:tc>
      </w:tr>
      <w:tr w:rsidR="00FA7413">
        <w:trPr>
          <w:trHeight w:val="310"/>
        </w:trPr>
        <w:tc>
          <w:tcPr>
            <w:tcW w:w="572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oct-20 </w:t>
            </w:r>
          </w:p>
        </w:tc>
        <w:tc>
          <w:tcPr>
            <w:tcW w:w="324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331,78 </w:t>
            </w:r>
          </w:p>
        </w:tc>
      </w:tr>
      <w:tr w:rsidR="00FA7413">
        <w:trPr>
          <w:trHeight w:val="310"/>
        </w:trPr>
        <w:tc>
          <w:tcPr>
            <w:tcW w:w="572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nov-20 </w:t>
            </w:r>
          </w:p>
        </w:tc>
        <w:tc>
          <w:tcPr>
            <w:tcW w:w="324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331,78 </w:t>
            </w:r>
          </w:p>
        </w:tc>
      </w:tr>
      <w:tr w:rsidR="00FA7413">
        <w:trPr>
          <w:trHeight w:val="310"/>
        </w:trPr>
        <w:tc>
          <w:tcPr>
            <w:tcW w:w="572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dic-20 </w:t>
            </w:r>
          </w:p>
        </w:tc>
        <w:tc>
          <w:tcPr>
            <w:tcW w:w="324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331,78 </w:t>
            </w:r>
          </w:p>
        </w:tc>
      </w:tr>
      <w:tr w:rsidR="00FA7413">
        <w:trPr>
          <w:trHeight w:val="310"/>
        </w:trPr>
        <w:tc>
          <w:tcPr>
            <w:tcW w:w="572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ene-21 </w:t>
            </w:r>
          </w:p>
        </w:tc>
        <w:tc>
          <w:tcPr>
            <w:tcW w:w="324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331,78 </w:t>
            </w:r>
          </w:p>
        </w:tc>
      </w:tr>
      <w:tr w:rsidR="00FA7413">
        <w:trPr>
          <w:trHeight w:val="310"/>
        </w:trPr>
        <w:tc>
          <w:tcPr>
            <w:tcW w:w="572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feb-21 </w:t>
            </w:r>
          </w:p>
        </w:tc>
        <w:tc>
          <w:tcPr>
            <w:tcW w:w="324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331,78 </w:t>
            </w:r>
          </w:p>
        </w:tc>
      </w:tr>
      <w:tr w:rsidR="00FA7413">
        <w:trPr>
          <w:trHeight w:val="312"/>
        </w:trPr>
        <w:tc>
          <w:tcPr>
            <w:tcW w:w="572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mar-21 </w:t>
            </w:r>
          </w:p>
        </w:tc>
        <w:tc>
          <w:tcPr>
            <w:tcW w:w="324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331,78 </w:t>
            </w:r>
          </w:p>
        </w:tc>
      </w:tr>
      <w:tr w:rsidR="00FA7413">
        <w:trPr>
          <w:trHeight w:val="310"/>
        </w:trPr>
        <w:tc>
          <w:tcPr>
            <w:tcW w:w="572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right"/>
            </w:pPr>
            <w:r>
              <w:rPr>
                <w:sz w:val="24"/>
              </w:rPr>
              <w:t xml:space="preserve">abr-21 </w:t>
            </w:r>
          </w:p>
        </w:tc>
        <w:tc>
          <w:tcPr>
            <w:tcW w:w="324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sz w:val="24"/>
              </w:rPr>
              <w:t xml:space="preserve">331,78 </w:t>
            </w:r>
          </w:p>
        </w:tc>
      </w:tr>
      <w:tr w:rsidR="00FA7413">
        <w:trPr>
          <w:trHeight w:val="310"/>
        </w:trPr>
        <w:tc>
          <w:tcPr>
            <w:tcW w:w="5723"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b/>
                <w:sz w:val="24"/>
              </w:rPr>
              <w:t xml:space="preserve">totales </w:t>
            </w:r>
          </w:p>
        </w:tc>
        <w:tc>
          <w:tcPr>
            <w:tcW w:w="324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7"/>
              <w:jc w:val="center"/>
            </w:pPr>
            <w:r>
              <w:rPr>
                <w:b/>
                <w:sz w:val="24"/>
              </w:rPr>
              <w:t xml:space="preserve">6303,82 </w:t>
            </w:r>
          </w:p>
        </w:tc>
      </w:tr>
    </w:tbl>
    <w:p w:rsidR="00FA7413" w:rsidRDefault="00D712A8">
      <w:pPr>
        <w:spacing w:after="98"/>
        <w:ind w:left="360"/>
      </w:pPr>
      <w:r>
        <w:rPr>
          <w:rFonts w:ascii="Arial" w:eastAsia="Arial" w:hAnsi="Arial" w:cs="Arial"/>
        </w:rPr>
        <w:t xml:space="preserve"> </w:t>
      </w:r>
    </w:p>
    <w:p w:rsidR="00FA7413" w:rsidRDefault="00D712A8">
      <w:pPr>
        <w:spacing w:after="109" w:line="248" w:lineRule="auto"/>
        <w:ind w:left="355" w:right="64" w:hanging="10"/>
        <w:jc w:val="both"/>
      </w:pPr>
      <w:r>
        <w:rPr>
          <w:rFonts w:ascii="Arial" w:eastAsia="Arial" w:hAnsi="Arial" w:cs="Arial"/>
          <w:b/>
        </w:rPr>
        <w:t>OCTAVO</w:t>
      </w:r>
      <w:r>
        <w:rPr>
          <w:rFonts w:ascii="Arial" w:eastAsia="Arial" w:hAnsi="Arial" w:cs="Arial"/>
        </w:rPr>
        <w:t xml:space="preserve">. - </w:t>
      </w:r>
      <w:r>
        <w:rPr>
          <w:rFonts w:ascii="Arial" w:eastAsia="Arial" w:hAnsi="Arial" w:cs="Arial"/>
        </w:rPr>
        <w:t>Abonar nóminas correspondientes al período de tiempo comprendido entre el mes de junio de 2017 hasta el mes de marzo de 2021 (de junio 2017 a septiembre de 2019 por aplicación de sentencia) y de octubre de 2019 hasta marzo de 2021 por reconocimiento de der</w:t>
      </w:r>
      <w:r>
        <w:rPr>
          <w:rFonts w:ascii="Arial" w:eastAsia="Arial" w:hAnsi="Arial" w:cs="Arial"/>
        </w:rPr>
        <w:t xml:space="preserve">echo económico de tracto sucesivo. </w:t>
      </w:r>
    </w:p>
    <w:p w:rsidR="00FA7413" w:rsidRDefault="00D712A8">
      <w:pPr>
        <w:spacing w:after="11" w:line="248" w:lineRule="auto"/>
        <w:ind w:left="355" w:right="64" w:hanging="10"/>
        <w:jc w:val="both"/>
      </w:pPr>
      <w:r>
        <w:rPr>
          <w:rFonts w:ascii="Arial" w:eastAsia="Arial" w:hAnsi="Arial" w:cs="Arial"/>
        </w:rPr>
        <w:t xml:space="preserve">Se generan remesas de revalorización en aplicativo de gestión de nóminas que se indican: </w:t>
      </w:r>
    </w:p>
    <w:tbl>
      <w:tblPr>
        <w:tblStyle w:val="TableGrid"/>
        <w:tblW w:w="8474" w:type="dxa"/>
        <w:tblInd w:w="365" w:type="dxa"/>
        <w:tblCellMar>
          <w:top w:w="9" w:type="dxa"/>
          <w:left w:w="106" w:type="dxa"/>
          <w:bottom w:w="0" w:type="dxa"/>
          <w:right w:w="115" w:type="dxa"/>
        </w:tblCellMar>
        <w:tblLook w:val="04A0" w:firstRow="1" w:lastRow="0" w:firstColumn="1" w:lastColumn="0" w:noHBand="0" w:noVBand="1"/>
      </w:tblPr>
      <w:tblGrid>
        <w:gridCol w:w="2883"/>
        <w:gridCol w:w="5591"/>
      </w:tblGrid>
      <w:tr w:rsidR="00FA7413">
        <w:trPr>
          <w:trHeight w:val="382"/>
        </w:trPr>
        <w:tc>
          <w:tcPr>
            <w:tcW w:w="288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2"/>
            </w:pPr>
            <w:r>
              <w:rPr>
                <w:rFonts w:ascii="Arial" w:eastAsia="Arial" w:hAnsi="Arial" w:cs="Arial"/>
              </w:rPr>
              <w:t xml:space="preserve">Remesa </w:t>
            </w:r>
          </w:p>
        </w:tc>
        <w:tc>
          <w:tcPr>
            <w:tcW w:w="5591"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rFonts w:ascii="Arial" w:eastAsia="Arial" w:hAnsi="Arial" w:cs="Arial"/>
              </w:rPr>
              <w:t xml:space="preserve">Concepto </w:t>
            </w:r>
          </w:p>
        </w:tc>
      </w:tr>
      <w:tr w:rsidR="00FA7413">
        <w:trPr>
          <w:trHeight w:val="384"/>
        </w:trPr>
        <w:tc>
          <w:tcPr>
            <w:tcW w:w="288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2"/>
            </w:pPr>
            <w:r>
              <w:rPr>
                <w:rFonts w:ascii="Arial" w:eastAsia="Arial" w:hAnsi="Arial" w:cs="Arial"/>
              </w:rPr>
              <w:t xml:space="preserve">445 </w:t>
            </w:r>
          </w:p>
        </w:tc>
        <w:tc>
          <w:tcPr>
            <w:tcW w:w="5591"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rFonts w:ascii="Arial" w:eastAsia="Arial" w:hAnsi="Arial" w:cs="Arial"/>
              </w:rPr>
              <w:t xml:space="preserve">2017 EZEQUIEL DIBELO CASE (SENTENCIA) </w:t>
            </w:r>
          </w:p>
        </w:tc>
      </w:tr>
      <w:tr w:rsidR="00FA7413">
        <w:trPr>
          <w:trHeight w:val="382"/>
        </w:trPr>
        <w:tc>
          <w:tcPr>
            <w:tcW w:w="288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2"/>
            </w:pPr>
            <w:r>
              <w:rPr>
                <w:rFonts w:ascii="Arial" w:eastAsia="Arial" w:hAnsi="Arial" w:cs="Arial"/>
              </w:rPr>
              <w:t xml:space="preserve">446 </w:t>
            </w:r>
          </w:p>
        </w:tc>
        <w:tc>
          <w:tcPr>
            <w:tcW w:w="5591"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rFonts w:ascii="Arial" w:eastAsia="Arial" w:hAnsi="Arial" w:cs="Arial"/>
              </w:rPr>
              <w:t xml:space="preserve">2018 EZEQUIEL DIBELO CASE (SENTENCIA) </w:t>
            </w:r>
          </w:p>
        </w:tc>
      </w:tr>
      <w:tr w:rsidR="00FA7413">
        <w:trPr>
          <w:trHeight w:val="384"/>
        </w:trPr>
        <w:tc>
          <w:tcPr>
            <w:tcW w:w="288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2"/>
            </w:pPr>
            <w:r>
              <w:rPr>
                <w:rFonts w:ascii="Arial" w:eastAsia="Arial" w:hAnsi="Arial" w:cs="Arial"/>
              </w:rPr>
              <w:t xml:space="preserve">447 </w:t>
            </w:r>
          </w:p>
        </w:tc>
        <w:tc>
          <w:tcPr>
            <w:tcW w:w="5591"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rFonts w:ascii="Arial" w:eastAsia="Arial" w:hAnsi="Arial" w:cs="Arial"/>
              </w:rPr>
              <w:t xml:space="preserve">2019 EZEQUIEL DIBELO CASE (SENTENCIA) </w:t>
            </w:r>
          </w:p>
        </w:tc>
      </w:tr>
      <w:tr w:rsidR="00FA7413">
        <w:trPr>
          <w:trHeight w:val="382"/>
        </w:trPr>
        <w:tc>
          <w:tcPr>
            <w:tcW w:w="288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2"/>
            </w:pPr>
            <w:r>
              <w:rPr>
                <w:rFonts w:ascii="Arial" w:eastAsia="Arial" w:hAnsi="Arial" w:cs="Arial"/>
              </w:rPr>
              <w:t xml:space="preserve">448 </w:t>
            </w:r>
          </w:p>
        </w:tc>
        <w:tc>
          <w:tcPr>
            <w:tcW w:w="5591"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rFonts w:ascii="Arial" w:eastAsia="Arial" w:hAnsi="Arial" w:cs="Arial"/>
              </w:rPr>
              <w:t xml:space="preserve">2020 EZEQUIEL DIBELO CASE (SENTENCIA) </w:t>
            </w:r>
          </w:p>
        </w:tc>
      </w:tr>
      <w:tr w:rsidR="00FA7413">
        <w:trPr>
          <w:trHeight w:val="384"/>
        </w:trPr>
        <w:tc>
          <w:tcPr>
            <w:tcW w:w="2883"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2"/>
            </w:pPr>
            <w:r>
              <w:rPr>
                <w:rFonts w:ascii="Arial" w:eastAsia="Arial" w:hAnsi="Arial" w:cs="Arial"/>
              </w:rPr>
              <w:t xml:space="preserve">449 </w:t>
            </w:r>
          </w:p>
        </w:tc>
        <w:tc>
          <w:tcPr>
            <w:tcW w:w="5591"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rFonts w:ascii="Arial" w:eastAsia="Arial" w:hAnsi="Arial" w:cs="Arial"/>
              </w:rPr>
              <w:t xml:space="preserve">2021 EZEQUIEL DIBELO CASE (SENTENCIA) </w:t>
            </w:r>
          </w:p>
        </w:tc>
      </w:tr>
    </w:tbl>
    <w:p w:rsidR="00FA7413" w:rsidRDefault="00D712A8">
      <w:pPr>
        <w:spacing w:after="98"/>
        <w:ind w:left="360"/>
      </w:pPr>
      <w:r>
        <w:rPr>
          <w:rFonts w:ascii="Arial" w:eastAsia="Arial" w:hAnsi="Arial" w:cs="Arial"/>
        </w:rPr>
        <w:t xml:space="preserve"> </w:t>
      </w:r>
    </w:p>
    <w:p w:rsidR="00FA7413" w:rsidRDefault="00D712A8">
      <w:pPr>
        <w:spacing w:after="109" w:line="248" w:lineRule="auto"/>
        <w:ind w:left="355" w:right="64" w:hanging="10"/>
        <w:jc w:val="both"/>
      </w:pPr>
      <w:r>
        <w:rPr>
          <w:rFonts w:ascii="Arial" w:eastAsia="Arial" w:hAnsi="Arial" w:cs="Arial"/>
          <w:b/>
        </w:rPr>
        <w:t>NOVENO</w:t>
      </w:r>
      <w:r>
        <w:rPr>
          <w:rFonts w:ascii="Arial" w:eastAsia="Arial" w:hAnsi="Arial" w:cs="Arial"/>
        </w:rPr>
        <w:t xml:space="preserve">. - </w:t>
      </w:r>
      <w:r>
        <w:rPr>
          <w:rFonts w:ascii="Arial" w:eastAsia="Arial" w:hAnsi="Arial" w:cs="Arial"/>
        </w:rPr>
        <w:t xml:space="preserve">Aprobar y ordenar el pago de las nóminas generadas entre el mes de junio de 2017 y abril de 2021 (según sentencia del Juzgado de lo Social número 6 de Santa Cruz de Tenerife) </w:t>
      </w:r>
    </w:p>
    <w:p w:rsidR="00FA7413" w:rsidRDefault="00D712A8">
      <w:pPr>
        <w:spacing w:after="0"/>
        <w:ind w:left="360"/>
      </w:pPr>
      <w:r>
        <w:rPr>
          <w:rFonts w:ascii="Arial" w:eastAsia="Arial" w:hAnsi="Arial" w:cs="Arial"/>
        </w:rPr>
        <w:t xml:space="preserve"> </w:t>
      </w:r>
    </w:p>
    <w:p w:rsidR="00FA7413" w:rsidRDefault="00D712A8">
      <w:pPr>
        <w:spacing w:after="50"/>
        <w:ind w:right="1058"/>
        <w:jc w:val="right"/>
      </w:pPr>
      <w:r>
        <w:rPr>
          <w:noProof/>
        </w:rPr>
        <w:drawing>
          <wp:inline distT="0" distB="0" distL="0" distR="0">
            <wp:extent cx="5401057" cy="1386840"/>
            <wp:effectExtent l="0" t="0" r="0" b="0"/>
            <wp:docPr id="23424" name="Picture 23424"/>
            <wp:cNvGraphicFramePr/>
            <a:graphic xmlns:a="http://schemas.openxmlformats.org/drawingml/2006/main">
              <a:graphicData uri="http://schemas.openxmlformats.org/drawingml/2006/picture">
                <pic:pic xmlns:pic="http://schemas.openxmlformats.org/drawingml/2006/picture">
                  <pic:nvPicPr>
                    <pic:cNvPr id="23424" name="Picture 23424"/>
                    <pic:cNvPicPr/>
                  </pic:nvPicPr>
                  <pic:blipFill>
                    <a:blip r:embed="rId46"/>
                    <a:stretch>
                      <a:fillRect/>
                    </a:stretch>
                  </pic:blipFill>
                  <pic:spPr>
                    <a:xfrm>
                      <a:off x="0" y="0"/>
                      <a:ext cx="5401057" cy="1386840"/>
                    </a:xfrm>
                    <a:prstGeom prst="rect">
                      <a:avLst/>
                    </a:prstGeom>
                  </pic:spPr>
                </pic:pic>
              </a:graphicData>
            </a:graphic>
          </wp:inline>
        </w:drawing>
      </w:r>
      <w:r>
        <w:rPr>
          <w:rFonts w:ascii="Arial" w:eastAsia="Arial" w:hAnsi="Arial" w:cs="Arial"/>
        </w:rPr>
        <w:t xml:space="preserve"> </w:t>
      </w:r>
    </w:p>
    <w:p w:rsidR="00FA7413" w:rsidRDefault="00D712A8">
      <w:pPr>
        <w:spacing w:after="109" w:line="248" w:lineRule="auto"/>
        <w:ind w:left="355" w:right="64" w:hanging="10"/>
        <w:jc w:val="both"/>
      </w:pPr>
      <w:r>
        <w:rPr>
          <w:rFonts w:ascii="Arial" w:eastAsia="Arial" w:hAnsi="Arial" w:cs="Arial"/>
          <w:b/>
          <w:u w:val="single" w:color="000000"/>
        </w:rPr>
        <w:t>DÉCIMO</w:t>
      </w:r>
      <w:r>
        <w:rPr>
          <w:rFonts w:ascii="Arial" w:eastAsia="Arial" w:hAnsi="Arial" w:cs="Arial"/>
        </w:rPr>
        <w:t xml:space="preserve">. - Las cantidades a percibir por el empleado entre el mes de mayo y </w:t>
      </w:r>
      <w:r>
        <w:rPr>
          <w:rFonts w:ascii="Arial" w:eastAsia="Arial" w:hAnsi="Arial" w:cs="Arial"/>
        </w:rPr>
        <w:t xml:space="preserve">diciembre de 2021, con la nueva estructura retributiva sería las que se indican a continuación: </w:t>
      </w:r>
    </w:p>
    <w:p w:rsidR="00FA7413" w:rsidRDefault="00D712A8">
      <w:pPr>
        <w:spacing w:after="140"/>
        <w:ind w:left="360"/>
      </w:pPr>
      <w:r>
        <w:rPr>
          <w:rFonts w:ascii="Arial" w:eastAsia="Arial" w:hAnsi="Arial" w:cs="Arial"/>
          <w:b/>
        </w:rPr>
        <w:t xml:space="preserve"> </w:t>
      </w:r>
    </w:p>
    <w:p w:rsidR="00FA7413" w:rsidRDefault="00D712A8">
      <w:pPr>
        <w:tabs>
          <w:tab w:val="center" w:pos="2240"/>
          <w:tab w:val="center" w:pos="7259"/>
        </w:tabs>
        <w:spacing w:after="0"/>
      </w:pPr>
      <w:r>
        <w:tab/>
      </w:r>
      <w:r>
        <w:rPr>
          <w:sz w:val="24"/>
        </w:rPr>
        <w:t xml:space="preserve">Estimación retribuciones de mayo a </w:t>
      </w:r>
      <w:r>
        <w:rPr>
          <w:sz w:val="24"/>
        </w:rPr>
        <w:tab/>
      </w:r>
      <w:r>
        <w:rPr>
          <w:b/>
          <w:sz w:val="24"/>
        </w:rPr>
        <w:t xml:space="preserve">Pagas junio Paga Dic. </w:t>
      </w:r>
    </w:p>
    <w:p w:rsidR="00FA7413" w:rsidRDefault="00D712A8">
      <w:pPr>
        <w:tabs>
          <w:tab w:val="center" w:pos="1259"/>
          <w:tab w:val="center" w:pos="4683"/>
          <w:tab w:val="center" w:pos="5615"/>
          <w:tab w:val="center" w:pos="6719"/>
          <w:tab w:val="center" w:pos="7914"/>
          <w:tab w:val="center" w:pos="8882"/>
        </w:tabs>
        <w:spacing w:after="0"/>
      </w:pPr>
      <w:r>
        <w:tab/>
      </w:r>
      <w:r>
        <w:rPr>
          <w:sz w:val="24"/>
        </w:rPr>
        <w:t xml:space="preserve">diciembre 2021 </w:t>
      </w:r>
      <w:r>
        <w:rPr>
          <w:sz w:val="24"/>
        </w:rPr>
        <w:tab/>
      </w:r>
      <w:r>
        <w:rPr>
          <w:b/>
          <w:sz w:val="24"/>
        </w:rPr>
        <w:t xml:space="preserve">SB C1 </w:t>
      </w:r>
      <w:r>
        <w:rPr>
          <w:b/>
          <w:sz w:val="24"/>
        </w:rPr>
        <w:tab/>
        <w:t xml:space="preserve">Ant. C1 </w:t>
      </w:r>
      <w:r>
        <w:rPr>
          <w:b/>
          <w:sz w:val="24"/>
        </w:rPr>
        <w:tab/>
        <w:t xml:space="preserve">C1 </w:t>
      </w:r>
      <w:r>
        <w:rPr>
          <w:b/>
          <w:sz w:val="24"/>
        </w:rPr>
        <w:tab/>
        <w:t xml:space="preserve">C1 </w:t>
      </w:r>
      <w:r>
        <w:rPr>
          <w:b/>
          <w:sz w:val="24"/>
        </w:rPr>
        <w:tab/>
        <w:t xml:space="preserve">CPT </w:t>
      </w:r>
    </w:p>
    <w:tbl>
      <w:tblPr>
        <w:tblStyle w:val="TableGrid"/>
        <w:tblW w:w="8858" w:type="dxa"/>
        <w:tblInd w:w="430" w:type="dxa"/>
        <w:tblCellMar>
          <w:top w:w="60" w:type="dxa"/>
          <w:left w:w="70" w:type="dxa"/>
          <w:bottom w:w="0" w:type="dxa"/>
          <w:right w:w="15" w:type="dxa"/>
        </w:tblCellMar>
        <w:tblLook w:val="04A0" w:firstRow="1" w:lastRow="0" w:firstColumn="1" w:lastColumn="0" w:noHBand="0" w:noVBand="1"/>
      </w:tblPr>
      <w:tblGrid>
        <w:gridCol w:w="3788"/>
        <w:gridCol w:w="931"/>
        <w:gridCol w:w="934"/>
        <w:gridCol w:w="1274"/>
        <w:gridCol w:w="1119"/>
        <w:gridCol w:w="811"/>
      </w:tblGrid>
      <w:tr w:rsidR="00FA7413">
        <w:trPr>
          <w:trHeight w:val="310"/>
        </w:trPr>
        <w:tc>
          <w:tcPr>
            <w:tcW w:w="3788"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mayo </w:t>
            </w:r>
          </w:p>
        </w:tc>
        <w:tc>
          <w:tcPr>
            <w:tcW w:w="93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62"/>
            </w:pPr>
            <w:r>
              <w:rPr>
                <w:sz w:val="24"/>
              </w:rPr>
              <w:t xml:space="preserve">788,42 </w:t>
            </w:r>
          </w:p>
        </w:tc>
        <w:tc>
          <w:tcPr>
            <w:tcW w:w="93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62"/>
            </w:pPr>
            <w:r>
              <w:rPr>
                <w:sz w:val="24"/>
              </w:rPr>
              <w:t xml:space="preserve">144,25 </w:t>
            </w:r>
          </w:p>
        </w:tc>
        <w:tc>
          <w:tcPr>
            <w:tcW w:w="127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center"/>
            </w:pPr>
            <w:r>
              <w:rPr>
                <w:sz w:val="24"/>
              </w:rPr>
              <w:t xml:space="preserve">130,52 </w:t>
            </w:r>
          </w:p>
        </w:tc>
        <w:tc>
          <w:tcPr>
            <w:tcW w:w="111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8"/>
              <w:jc w:val="center"/>
            </w:pPr>
            <w:r>
              <w:rPr>
                <w:sz w:val="24"/>
              </w:rPr>
              <w:t xml:space="preserve">130,52 </w:t>
            </w:r>
          </w:p>
        </w:tc>
        <w:tc>
          <w:tcPr>
            <w:tcW w:w="81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62"/>
            </w:pPr>
            <w:r>
              <w:rPr>
                <w:sz w:val="24"/>
              </w:rPr>
              <w:t xml:space="preserve">84,56 </w:t>
            </w:r>
          </w:p>
        </w:tc>
      </w:tr>
      <w:tr w:rsidR="00FA7413">
        <w:trPr>
          <w:trHeight w:val="310"/>
        </w:trPr>
        <w:tc>
          <w:tcPr>
            <w:tcW w:w="3788"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junio</w:t>
            </w:r>
            <w:r>
              <w:rPr>
                <w:sz w:val="24"/>
              </w:rPr>
              <w:t xml:space="preserve"> </w:t>
            </w:r>
          </w:p>
        </w:tc>
        <w:tc>
          <w:tcPr>
            <w:tcW w:w="93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62"/>
            </w:pPr>
            <w:r>
              <w:rPr>
                <w:sz w:val="24"/>
              </w:rPr>
              <w:t xml:space="preserve">788,42 </w:t>
            </w:r>
          </w:p>
        </w:tc>
        <w:tc>
          <w:tcPr>
            <w:tcW w:w="93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62"/>
            </w:pPr>
            <w:r>
              <w:rPr>
                <w:sz w:val="24"/>
              </w:rPr>
              <w:t xml:space="preserve">144,25 </w:t>
            </w:r>
          </w:p>
        </w:tc>
        <w:tc>
          <w:tcPr>
            <w:tcW w:w="127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center"/>
            </w:pPr>
            <w:r>
              <w:rPr>
                <w:sz w:val="24"/>
              </w:rPr>
              <w:t xml:space="preserve">130,52 </w:t>
            </w:r>
          </w:p>
        </w:tc>
        <w:tc>
          <w:tcPr>
            <w:tcW w:w="111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8"/>
              <w:jc w:val="center"/>
            </w:pPr>
            <w:r>
              <w:rPr>
                <w:sz w:val="24"/>
              </w:rPr>
              <w:t xml:space="preserve">130,52 </w:t>
            </w:r>
          </w:p>
        </w:tc>
        <w:tc>
          <w:tcPr>
            <w:tcW w:w="81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62"/>
            </w:pPr>
            <w:r>
              <w:rPr>
                <w:sz w:val="24"/>
              </w:rPr>
              <w:t xml:space="preserve">84,52 </w:t>
            </w:r>
          </w:p>
        </w:tc>
      </w:tr>
      <w:tr w:rsidR="00FA7413">
        <w:trPr>
          <w:trHeight w:val="312"/>
        </w:trPr>
        <w:tc>
          <w:tcPr>
            <w:tcW w:w="3788"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julio </w:t>
            </w:r>
          </w:p>
        </w:tc>
        <w:tc>
          <w:tcPr>
            <w:tcW w:w="93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62"/>
            </w:pPr>
            <w:r>
              <w:rPr>
                <w:sz w:val="24"/>
              </w:rPr>
              <w:t xml:space="preserve">788,42 </w:t>
            </w:r>
          </w:p>
        </w:tc>
        <w:tc>
          <w:tcPr>
            <w:tcW w:w="93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62"/>
            </w:pPr>
            <w:r>
              <w:rPr>
                <w:sz w:val="24"/>
              </w:rPr>
              <w:t xml:space="preserve">144,25 </w:t>
            </w:r>
          </w:p>
        </w:tc>
        <w:tc>
          <w:tcPr>
            <w:tcW w:w="127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center"/>
            </w:pPr>
            <w:r>
              <w:rPr>
                <w:sz w:val="24"/>
              </w:rPr>
              <w:t xml:space="preserve">130,52 </w:t>
            </w:r>
          </w:p>
        </w:tc>
        <w:tc>
          <w:tcPr>
            <w:tcW w:w="111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8"/>
              <w:jc w:val="center"/>
            </w:pPr>
            <w:r>
              <w:rPr>
                <w:sz w:val="24"/>
              </w:rPr>
              <w:t xml:space="preserve">130,52 </w:t>
            </w:r>
          </w:p>
        </w:tc>
        <w:tc>
          <w:tcPr>
            <w:tcW w:w="81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62"/>
            </w:pPr>
            <w:r>
              <w:rPr>
                <w:sz w:val="24"/>
              </w:rPr>
              <w:t xml:space="preserve">84,52 </w:t>
            </w:r>
          </w:p>
        </w:tc>
      </w:tr>
      <w:tr w:rsidR="00FA7413">
        <w:trPr>
          <w:trHeight w:val="310"/>
        </w:trPr>
        <w:tc>
          <w:tcPr>
            <w:tcW w:w="3788"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agosto </w:t>
            </w:r>
          </w:p>
        </w:tc>
        <w:tc>
          <w:tcPr>
            <w:tcW w:w="93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62"/>
            </w:pPr>
            <w:r>
              <w:rPr>
                <w:sz w:val="24"/>
              </w:rPr>
              <w:t xml:space="preserve">788,42 </w:t>
            </w:r>
          </w:p>
        </w:tc>
        <w:tc>
          <w:tcPr>
            <w:tcW w:w="93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62"/>
            </w:pPr>
            <w:r>
              <w:rPr>
                <w:sz w:val="24"/>
              </w:rPr>
              <w:t xml:space="preserve">144,25 </w:t>
            </w:r>
          </w:p>
        </w:tc>
        <w:tc>
          <w:tcPr>
            <w:tcW w:w="127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center"/>
            </w:pPr>
            <w:r>
              <w:rPr>
                <w:sz w:val="24"/>
              </w:rPr>
              <w:t xml:space="preserve">130,52 </w:t>
            </w:r>
          </w:p>
        </w:tc>
        <w:tc>
          <w:tcPr>
            <w:tcW w:w="111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8"/>
              <w:jc w:val="center"/>
            </w:pPr>
            <w:r>
              <w:rPr>
                <w:sz w:val="24"/>
              </w:rPr>
              <w:t xml:space="preserve">130,52 </w:t>
            </w:r>
          </w:p>
        </w:tc>
        <w:tc>
          <w:tcPr>
            <w:tcW w:w="81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62"/>
            </w:pPr>
            <w:r>
              <w:rPr>
                <w:sz w:val="24"/>
              </w:rPr>
              <w:t xml:space="preserve">84,52 </w:t>
            </w:r>
          </w:p>
        </w:tc>
      </w:tr>
      <w:tr w:rsidR="00FA7413">
        <w:trPr>
          <w:trHeight w:val="310"/>
        </w:trPr>
        <w:tc>
          <w:tcPr>
            <w:tcW w:w="3788"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septiembre </w:t>
            </w:r>
          </w:p>
        </w:tc>
        <w:tc>
          <w:tcPr>
            <w:tcW w:w="93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62"/>
            </w:pPr>
            <w:r>
              <w:rPr>
                <w:sz w:val="24"/>
              </w:rPr>
              <w:t xml:space="preserve">788,42 </w:t>
            </w:r>
          </w:p>
        </w:tc>
        <w:tc>
          <w:tcPr>
            <w:tcW w:w="93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62"/>
            </w:pPr>
            <w:r>
              <w:rPr>
                <w:sz w:val="24"/>
              </w:rPr>
              <w:t xml:space="preserve">144,25 </w:t>
            </w:r>
          </w:p>
        </w:tc>
        <w:tc>
          <w:tcPr>
            <w:tcW w:w="127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center"/>
            </w:pPr>
            <w:r>
              <w:rPr>
                <w:sz w:val="24"/>
              </w:rPr>
              <w:t xml:space="preserve">130,52 </w:t>
            </w:r>
          </w:p>
        </w:tc>
        <w:tc>
          <w:tcPr>
            <w:tcW w:w="111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8"/>
              <w:jc w:val="center"/>
            </w:pPr>
            <w:r>
              <w:rPr>
                <w:sz w:val="24"/>
              </w:rPr>
              <w:t xml:space="preserve">130,52 </w:t>
            </w:r>
          </w:p>
        </w:tc>
        <w:tc>
          <w:tcPr>
            <w:tcW w:w="81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62"/>
            </w:pPr>
            <w:r>
              <w:rPr>
                <w:sz w:val="24"/>
              </w:rPr>
              <w:t xml:space="preserve">84,52 </w:t>
            </w:r>
          </w:p>
        </w:tc>
      </w:tr>
      <w:tr w:rsidR="00FA7413">
        <w:trPr>
          <w:trHeight w:val="310"/>
        </w:trPr>
        <w:tc>
          <w:tcPr>
            <w:tcW w:w="3788"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octubre </w:t>
            </w:r>
          </w:p>
        </w:tc>
        <w:tc>
          <w:tcPr>
            <w:tcW w:w="93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62"/>
            </w:pPr>
            <w:r>
              <w:rPr>
                <w:sz w:val="24"/>
              </w:rPr>
              <w:t xml:space="preserve">788,42 </w:t>
            </w:r>
          </w:p>
        </w:tc>
        <w:tc>
          <w:tcPr>
            <w:tcW w:w="93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122"/>
            </w:pPr>
            <w:r>
              <w:rPr>
                <w:sz w:val="24"/>
              </w:rPr>
              <w:t xml:space="preserve">173,1 </w:t>
            </w:r>
          </w:p>
        </w:tc>
        <w:tc>
          <w:tcPr>
            <w:tcW w:w="127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center"/>
            </w:pPr>
            <w:r>
              <w:rPr>
                <w:sz w:val="24"/>
              </w:rPr>
              <w:t xml:space="preserve">130,52 </w:t>
            </w:r>
          </w:p>
        </w:tc>
        <w:tc>
          <w:tcPr>
            <w:tcW w:w="111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8"/>
              <w:jc w:val="center"/>
            </w:pPr>
            <w:r>
              <w:rPr>
                <w:sz w:val="24"/>
              </w:rPr>
              <w:t xml:space="preserve">130,52 </w:t>
            </w:r>
          </w:p>
        </w:tc>
        <w:tc>
          <w:tcPr>
            <w:tcW w:w="81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62"/>
            </w:pPr>
            <w:r>
              <w:rPr>
                <w:sz w:val="24"/>
              </w:rPr>
              <w:t xml:space="preserve">84,52 </w:t>
            </w:r>
          </w:p>
        </w:tc>
      </w:tr>
      <w:tr w:rsidR="00FA7413">
        <w:trPr>
          <w:trHeight w:val="310"/>
        </w:trPr>
        <w:tc>
          <w:tcPr>
            <w:tcW w:w="3788"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noviembre </w:t>
            </w:r>
          </w:p>
        </w:tc>
        <w:tc>
          <w:tcPr>
            <w:tcW w:w="93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62"/>
            </w:pPr>
            <w:r>
              <w:rPr>
                <w:sz w:val="24"/>
              </w:rPr>
              <w:t xml:space="preserve">788,42 </w:t>
            </w:r>
          </w:p>
        </w:tc>
        <w:tc>
          <w:tcPr>
            <w:tcW w:w="93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122"/>
            </w:pPr>
            <w:r>
              <w:rPr>
                <w:sz w:val="24"/>
              </w:rPr>
              <w:t xml:space="preserve">173,1 </w:t>
            </w:r>
          </w:p>
        </w:tc>
        <w:tc>
          <w:tcPr>
            <w:tcW w:w="127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center"/>
            </w:pPr>
            <w:r>
              <w:rPr>
                <w:sz w:val="24"/>
              </w:rPr>
              <w:t xml:space="preserve">130,52 </w:t>
            </w:r>
          </w:p>
        </w:tc>
        <w:tc>
          <w:tcPr>
            <w:tcW w:w="111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8"/>
              <w:jc w:val="center"/>
            </w:pPr>
            <w:r>
              <w:rPr>
                <w:sz w:val="24"/>
              </w:rPr>
              <w:t xml:space="preserve">130,52 </w:t>
            </w:r>
          </w:p>
        </w:tc>
        <w:tc>
          <w:tcPr>
            <w:tcW w:w="81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62"/>
            </w:pPr>
            <w:r>
              <w:rPr>
                <w:sz w:val="24"/>
              </w:rPr>
              <w:t xml:space="preserve">84,52 </w:t>
            </w:r>
          </w:p>
        </w:tc>
      </w:tr>
      <w:tr w:rsidR="00FA7413">
        <w:trPr>
          <w:trHeight w:val="310"/>
        </w:trPr>
        <w:tc>
          <w:tcPr>
            <w:tcW w:w="3788"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diciembre </w:t>
            </w:r>
          </w:p>
        </w:tc>
        <w:tc>
          <w:tcPr>
            <w:tcW w:w="93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62"/>
            </w:pPr>
            <w:r>
              <w:rPr>
                <w:sz w:val="24"/>
              </w:rPr>
              <w:t xml:space="preserve">788,42 </w:t>
            </w:r>
          </w:p>
        </w:tc>
        <w:tc>
          <w:tcPr>
            <w:tcW w:w="93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122"/>
            </w:pPr>
            <w:r>
              <w:rPr>
                <w:sz w:val="24"/>
              </w:rPr>
              <w:t xml:space="preserve">173,1 </w:t>
            </w:r>
          </w:p>
        </w:tc>
        <w:tc>
          <w:tcPr>
            <w:tcW w:w="127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5"/>
              <w:jc w:val="center"/>
            </w:pPr>
            <w:r>
              <w:rPr>
                <w:sz w:val="24"/>
              </w:rPr>
              <w:t xml:space="preserve">130,52 </w:t>
            </w:r>
          </w:p>
        </w:tc>
        <w:tc>
          <w:tcPr>
            <w:tcW w:w="111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8"/>
              <w:jc w:val="center"/>
            </w:pPr>
            <w:r>
              <w:rPr>
                <w:sz w:val="24"/>
              </w:rPr>
              <w:t xml:space="preserve">130,52 </w:t>
            </w:r>
          </w:p>
        </w:tc>
        <w:tc>
          <w:tcPr>
            <w:tcW w:w="811"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62"/>
            </w:pPr>
            <w:r>
              <w:rPr>
                <w:sz w:val="24"/>
              </w:rPr>
              <w:t xml:space="preserve">84,52 </w:t>
            </w:r>
          </w:p>
        </w:tc>
      </w:tr>
      <w:tr w:rsidR="00FA7413">
        <w:trPr>
          <w:trHeight w:val="312"/>
        </w:trPr>
        <w:tc>
          <w:tcPr>
            <w:tcW w:w="3788"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b/>
                <w:sz w:val="24"/>
              </w:rPr>
              <w:t xml:space="preserve">TOTALES </w:t>
            </w:r>
          </w:p>
        </w:tc>
        <w:tc>
          <w:tcPr>
            <w:tcW w:w="931" w:type="dxa"/>
            <w:tcBorders>
              <w:top w:val="single" w:sz="4" w:space="0" w:color="000000"/>
              <w:left w:val="single" w:sz="4" w:space="0" w:color="000000"/>
              <w:bottom w:val="single" w:sz="4" w:space="0" w:color="000000"/>
              <w:right w:val="single" w:sz="4" w:space="0" w:color="000000"/>
            </w:tcBorders>
          </w:tcPr>
          <w:p w:rsidR="00FA7413" w:rsidRDefault="00D712A8">
            <w:pPr>
              <w:spacing w:after="0"/>
              <w:jc w:val="both"/>
            </w:pPr>
            <w:r>
              <w:rPr>
                <w:b/>
                <w:sz w:val="24"/>
              </w:rPr>
              <w:t xml:space="preserve">6307,36 </w:t>
            </w:r>
          </w:p>
        </w:tc>
        <w:tc>
          <w:tcPr>
            <w:tcW w:w="934" w:type="dxa"/>
            <w:tcBorders>
              <w:top w:val="single" w:sz="4" w:space="0" w:color="000000"/>
              <w:left w:val="single" w:sz="4" w:space="0" w:color="000000"/>
              <w:bottom w:val="single" w:sz="4" w:space="0" w:color="000000"/>
              <w:right w:val="single" w:sz="4" w:space="0" w:color="000000"/>
            </w:tcBorders>
          </w:tcPr>
          <w:p w:rsidR="00FA7413" w:rsidRDefault="00D712A8">
            <w:pPr>
              <w:spacing w:after="0"/>
              <w:jc w:val="both"/>
            </w:pPr>
            <w:r>
              <w:rPr>
                <w:b/>
                <w:sz w:val="24"/>
              </w:rPr>
              <w:t xml:space="preserve">1240,55 </w:t>
            </w:r>
          </w:p>
        </w:tc>
        <w:tc>
          <w:tcPr>
            <w:tcW w:w="1274"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6"/>
              <w:jc w:val="center"/>
            </w:pPr>
            <w:r>
              <w:rPr>
                <w:b/>
                <w:sz w:val="24"/>
              </w:rPr>
              <w:t xml:space="preserve">1044,16 </w:t>
            </w:r>
          </w:p>
        </w:tc>
        <w:tc>
          <w:tcPr>
            <w:tcW w:w="1119"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91"/>
            </w:pPr>
            <w:r>
              <w:rPr>
                <w:b/>
                <w:sz w:val="24"/>
              </w:rPr>
              <w:t xml:space="preserve">1044,16 </w:t>
            </w:r>
          </w:p>
        </w:tc>
        <w:tc>
          <w:tcPr>
            <w:tcW w:w="811" w:type="dxa"/>
            <w:tcBorders>
              <w:top w:val="single" w:sz="4" w:space="0" w:color="000000"/>
              <w:left w:val="single" w:sz="4" w:space="0" w:color="000000"/>
              <w:bottom w:val="single" w:sz="4" w:space="0" w:color="000000"/>
              <w:right w:val="single" w:sz="4" w:space="0" w:color="000000"/>
            </w:tcBorders>
          </w:tcPr>
          <w:p w:rsidR="00FA7413" w:rsidRDefault="00D712A8">
            <w:pPr>
              <w:spacing w:after="0"/>
              <w:jc w:val="both"/>
            </w:pPr>
            <w:r>
              <w:rPr>
                <w:b/>
                <w:sz w:val="24"/>
              </w:rPr>
              <w:t xml:space="preserve">676,20 </w:t>
            </w:r>
          </w:p>
        </w:tc>
      </w:tr>
    </w:tbl>
    <w:p w:rsidR="00FA7413" w:rsidRDefault="00D712A8">
      <w:pPr>
        <w:spacing w:after="0"/>
        <w:ind w:left="360"/>
      </w:pPr>
      <w:r>
        <w:rPr>
          <w:noProof/>
        </w:rPr>
        <mc:AlternateContent>
          <mc:Choice Requires="wpg">
            <w:drawing>
              <wp:anchor distT="0" distB="0" distL="114300" distR="114300" simplePos="0" relativeHeight="251832320"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37095" name="Group 237095"/>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23427" name="Rectangle 23427"/>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23428" name="Rectangle 23428"/>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168 de 180 </w:t>
                              </w:r>
                            </w:p>
                          </w:txbxContent>
                        </wps:txbx>
                        <wps:bodyPr horzOverflow="overflow" vert="horz" lIns="0" tIns="0" rIns="0" bIns="0" rtlCol="0">
                          <a:noAutofit/>
                        </wps:bodyPr>
                      </wps:wsp>
                    </wpg:wgp>
                  </a:graphicData>
                </a:graphic>
              </wp:anchor>
            </w:drawing>
          </mc:Choice>
          <mc:Fallback xmlns:a="http://schemas.openxmlformats.org/drawingml/2006/main">
            <w:pict>
              <v:group id="Group 237095" style="width:12.7031pt;height:275.586pt;position:absolute;mso-position-horizontal-relative:page;mso-position-horizontal:absolute;margin-left:682.278pt;mso-position-vertical-relative:page;margin-top:536.334pt;" coordsize="1613,34999">
                <v:rect id="Rectangle 23427"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23428"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168 de 180 </w:t>
                        </w:r>
                      </w:p>
                    </w:txbxContent>
                  </v:textbox>
                </v:rect>
                <w10:wrap type="square"/>
              </v:group>
            </w:pict>
          </mc:Fallback>
        </mc:AlternateContent>
      </w:r>
      <w:r>
        <w:rPr>
          <w:rFonts w:ascii="Arial" w:eastAsia="Arial" w:hAnsi="Arial" w:cs="Arial"/>
          <w:b/>
        </w:rPr>
        <w:t xml:space="preserve"> </w:t>
      </w:r>
    </w:p>
    <w:tbl>
      <w:tblPr>
        <w:tblStyle w:val="TableGrid"/>
        <w:tblW w:w="8488" w:type="dxa"/>
        <w:tblInd w:w="435" w:type="dxa"/>
        <w:tblCellMar>
          <w:top w:w="53" w:type="dxa"/>
          <w:left w:w="70" w:type="dxa"/>
          <w:bottom w:w="5" w:type="dxa"/>
          <w:right w:w="15" w:type="dxa"/>
        </w:tblCellMar>
        <w:tblLook w:val="04A0" w:firstRow="1" w:lastRow="0" w:firstColumn="1" w:lastColumn="0" w:noHBand="0" w:noVBand="1"/>
      </w:tblPr>
      <w:tblGrid>
        <w:gridCol w:w="4882"/>
        <w:gridCol w:w="1088"/>
        <w:gridCol w:w="1430"/>
        <w:gridCol w:w="1088"/>
      </w:tblGrid>
      <w:tr w:rsidR="00FA7413">
        <w:trPr>
          <w:trHeight w:val="595"/>
        </w:trPr>
        <w:tc>
          <w:tcPr>
            <w:tcW w:w="4882"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Estimación retribuciones de mayo a diciembre 2021 </w:t>
            </w:r>
          </w:p>
        </w:tc>
        <w:tc>
          <w:tcPr>
            <w:tcW w:w="1088" w:type="dxa"/>
            <w:tcBorders>
              <w:top w:val="single" w:sz="4" w:space="0" w:color="000000"/>
              <w:left w:val="single" w:sz="4" w:space="0" w:color="000000"/>
              <w:bottom w:val="single" w:sz="4" w:space="0" w:color="000000"/>
              <w:right w:val="single" w:sz="4" w:space="0" w:color="000000"/>
            </w:tcBorders>
            <w:vAlign w:val="bottom"/>
          </w:tcPr>
          <w:p w:rsidR="00FA7413" w:rsidRDefault="00D712A8">
            <w:pPr>
              <w:spacing w:after="0"/>
              <w:ind w:right="53"/>
              <w:jc w:val="center"/>
            </w:pPr>
            <w:r>
              <w:rPr>
                <w:b/>
                <w:sz w:val="24"/>
              </w:rPr>
              <w:t xml:space="preserve">totales </w:t>
            </w:r>
          </w:p>
        </w:tc>
        <w:tc>
          <w:tcPr>
            <w:tcW w:w="1430" w:type="dxa"/>
            <w:tcBorders>
              <w:top w:val="single" w:sz="4" w:space="0" w:color="000000"/>
              <w:left w:val="single" w:sz="4" w:space="0" w:color="000000"/>
              <w:bottom w:val="single" w:sz="4" w:space="0" w:color="000000"/>
              <w:right w:val="single" w:sz="4" w:space="0" w:color="000000"/>
            </w:tcBorders>
            <w:vAlign w:val="bottom"/>
          </w:tcPr>
          <w:p w:rsidR="00FA7413" w:rsidRDefault="00D712A8">
            <w:pPr>
              <w:spacing w:after="0"/>
              <w:jc w:val="both"/>
            </w:pPr>
            <w:r>
              <w:rPr>
                <w:b/>
                <w:sz w:val="24"/>
              </w:rPr>
              <w:t xml:space="preserve">Est. Seg. Soc. </w:t>
            </w:r>
          </w:p>
        </w:tc>
        <w:tc>
          <w:tcPr>
            <w:tcW w:w="1088" w:type="dxa"/>
            <w:tcBorders>
              <w:top w:val="single" w:sz="4" w:space="0" w:color="000000"/>
              <w:left w:val="single" w:sz="4" w:space="0" w:color="000000"/>
              <w:bottom w:val="single" w:sz="4" w:space="0" w:color="000000"/>
              <w:right w:val="single" w:sz="4" w:space="0" w:color="000000"/>
            </w:tcBorders>
            <w:vAlign w:val="bottom"/>
          </w:tcPr>
          <w:p w:rsidR="00FA7413" w:rsidRDefault="00D712A8">
            <w:pPr>
              <w:spacing w:after="0"/>
              <w:ind w:right="57"/>
              <w:jc w:val="center"/>
            </w:pPr>
            <w:r>
              <w:rPr>
                <w:b/>
                <w:sz w:val="24"/>
              </w:rPr>
              <w:t xml:space="preserve">Coste </w:t>
            </w:r>
          </w:p>
        </w:tc>
      </w:tr>
      <w:tr w:rsidR="00FA7413">
        <w:trPr>
          <w:trHeight w:val="312"/>
        </w:trPr>
        <w:tc>
          <w:tcPr>
            <w:tcW w:w="4882"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mayo </w:t>
            </w:r>
          </w:p>
        </w:tc>
        <w:tc>
          <w:tcPr>
            <w:tcW w:w="1088"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79"/>
            </w:pPr>
            <w:r>
              <w:rPr>
                <w:sz w:val="24"/>
              </w:rPr>
              <w:t xml:space="preserve">1278,26 </w:t>
            </w:r>
          </w:p>
        </w:tc>
        <w:tc>
          <w:tcPr>
            <w:tcW w:w="143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center"/>
            </w:pPr>
            <w:r>
              <w:rPr>
                <w:sz w:val="24"/>
              </w:rPr>
              <w:t xml:space="preserve">410,32 </w:t>
            </w:r>
          </w:p>
        </w:tc>
        <w:tc>
          <w:tcPr>
            <w:tcW w:w="1088"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4"/>
              <w:jc w:val="right"/>
            </w:pPr>
            <w:r>
              <w:rPr>
                <w:sz w:val="24"/>
              </w:rPr>
              <w:t xml:space="preserve">1688,58 </w:t>
            </w:r>
          </w:p>
        </w:tc>
      </w:tr>
      <w:tr w:rsidR="00FA7413">
        <w:trPr>
          <w:trHeight w:val="310"/>
        </w:trPr>
        <w:tc>
          <w:tcPr>
            <w:tcW w:w="4882"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junio </w:t>
            </w:r>
          </w:p>
        </w:tc>
        <w:tc>
          <w:tcPr>
            <w:tcW w:w="1088"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79"/>
            </w:pPr>
            <w:r>
              <w:rPr>
                <w:sz w:val="24"/>
              </w:rPr>
              <w:t xml:space="preserve">1278,23 </w:t>
            </w:r>
          </w:p>
        </w:tc>
        <w:tc>
          <w:tcPr>
            <w:tcW w:w="143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center"/>
            </w:pPr>
            <w:r>
              <w:rPr>
                <w:sz w:val="24"/>
              </w:rPr>
              <w:t xml:space="preserve">410,31 </w:t>
            </w:r>
          </w:p>
        </w:tc>
        <w:tc>
          <w:tcPr>
            <w:tcW w:w="1088"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4"/>
              <w:jc w:val="right"/>
            </w:pPr>
            <w:r>
              <w:rPr>
                <w:sz w:val="24"/>
              </w:rPr>
              <w:t xml:space="preserve">1688,54 </w:t>
            </w:r>
          </w:p>
        </w:tc>
      </w:tr>
      <w:tr w:rsidR="00FA7413">
        <w:trPr>
          <w:trHeight w:val="310"/>
        </w:trPr>
        <w:tc>
          <w:tcPr>
            <w:tcW w:w="4882"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julio </w:t>
            </w:r>
          </w:p>
        </w:tc>
        <w:tc>
          <w:tcPr>
            <w:tcW w:w="1088"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79"/>
            </w:pPr>
            <w:r>
              <w:rPr>
                <w:sz w:val="24"/>
              </w:rPr>
              <w:t xml:space="preserve">1278,23 </w:t>
            </w:r>
          </w:p>
        </w:tc>
        <w:tc>
          <w:tcPr>
            <w:tcW w:w="143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center"/>
            </w:pPr>
            <w:r>
              <w:rPr>
                <w:sz w:val="24"/>
              </w:rPr>
              <w:t xml:space="preserve">410,31 </w:t>
            </w:r>
          </w:p>
        </w:tc>
        <w:tc>
          <w:tcPr>
            <w:tcW w:w="1088"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4"/>
              <w:jc w:val="right"/>
            </w:pPr>
            <w:r>
              <w:rPr>
                <w:sz w:val="24"/>
              </w:rPr>
              <w:t xml:space="preserve">1688,54 </w:t>
            </w:r>
          </w:p>
        </w:tc>
      </w:tr>
      <w:tr w:rsidR="00FA7413">
        <w:trPr>
          <w:trHeight w:val="310"/>
        </w:trPr>
        <w:tc>
          <w:tcPr>
            <w:tcW w:w="4882"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agosto </w:t>
            </w:r>
          </w:p>
        </w:tc>
        <w:tc>
          <w:tcPr>
            <w:tcW w:w="1088"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79"/>
            </w:pPr>
            <w:r>
              <w:rPr>
                <w:sz w:val="24"/>
              </w:rPr>
              <w:t xml:space="preserve">1278,23 </w:t>
            </w:r>
          </w:p>
        </w:tc>
        <w:tc>
          <w:tcPr>
            <w:tcW w:w="143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center"/>
            </w:pPr>
            <w:r>
              <w:rPr>
                <w:sz w:val="24"/>
              </w:rPr>
              <w:t xml:space="preserve">410,31 </w:t>
            </w:r>
          </w:p>
        </w:tc>
        <w:tc>
          <w:tcPr>
            <w:tcW w:w="1088"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4"/>
              <w:jc w:val="right"/>
            </w:pPr>
            <w:r>
              <w:rPr>
                <w:sz w:val="24"/>
              </w:rPr>
              <w:t xml:space="preserve">1688,54 </w:t>
            </w:r>
          </w:p>
        </w:tc>
      </w:tr>
      <w:tr w:rsidR="00FA7413">
        <w:trPr>
          <w:trHeight w:val="310"/>
        </w:trPr>
        <w:tc>
          <w:tcPr>
            <w:tcW w:w="4882"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septiembre </w:t>
            </w:r>
          </w:p>
        </w:tc>
        <w:tc>
          <w:tcPr>
            <w:tcW w:w="1088"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79"/>
            </w:pPr>
            <w:r>
              <w:rPr>
                <w:sz w:val="24"/>
              </w:rPr>
              <w:t xml:space="preserve">1278,23 </w:t>
            </w:r>
          </w:p>
        </w:tc>
        <w:tc>
          <w:tcPr>
            <w:tcW w:w="143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center"/>
            </w:pPr>
            <w:r>
              <w:rPr>
                <w:sz w:val="24"/>
              </w:rPr>
              <w:t xml:space="preserve">410,31 </w:t>
            </w:r>
          </w:p>
        </w:tc>
        <w:tc>
          <w:tcPr>
            <w:tcW w:w="1088"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4"/>
              <w:jc w:val="right"/>
            </w:pPr>
            <w:r>
              <w:rPr>
                <w:sz w:val="24"/>
              </w:rPr>
              <w:t xml:space="preserve">1688,54 </w:t>
            </w:r>
          </w:p>
        </w:tc>
      </w:tr>
      <w:tr w:rsidR="00FA7413">
        <w:trPr>
          <w:trHeight w:val="310"/>
        </w:trPr>
        <w:tc>
          <w:tcPr>
            <w:tcW w:w="4882"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octubre </w:t>
            </w:r>
          </w:p>
        </w:tc>
        <w:tc>
          <w:tcPr>
            <w:tcW w:w="1088"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79"/>
            </w:pPr>
            <w:r>
              <w:rPr>
                <w:sz w:val="24"/>
              </w:rPr>
              <w:t xml:space="preserve">1307,08 </w:t>
            </w:r>
          </w:p>
        </w:tc>
        <w:tc>
          <w:tcPr>
            <w:tcW w:w="143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center"/>
            </w:pPr>
            <w:r>
              <w:rPr>
                <w:sz w:val="24"/>
              </w:rPr>
              <w:t xml:space="preserve">419,57 </w:t>
            </w:r>
          </w:p>
        </w:tc>
        <w:tc>
          <w:tcPr>
            <w:tcW w:w="1088"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4"/>
              <w:jc w:val="right"/>
            </w:pPr>
            <w:r>
              <w:rPr>
                <w:sz w:val="24"/>
              </w:rPr>
              <w:t xml:space="preserve">1726,65 </w:t>
            </w:r>
          </w:p>
        </w:tc>
      </w:tr>
      <w:tr w:rsidR="00FA7413">
        <w:trPr>
          <w:trHeight w:val="312"/>
        </w:trPr>
        <w:tc>
          <w:tcPr>
            <w:tcW w:w="4882"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noviembre </w:t>
            </w:r>
          </w:p>
        </w:tc>
        <w:tc>
          <w:tcPr>
            <w:tcW w:w="1088"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79"/>
            </w:pPr>
            <w:r>
              <w:rPr>
                <w:sz w:val="24"/>
              </w:rPr>
              <w:t xml:space="preserve">1307,08 </w:t>
            </w:r>
          </w:p>
        </w:tc>
        <w:tc>
          <w:tcPr>
            <w:tcW w:w="143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center"/>
            </w:pPr>
            <w:r>
              <w:rPr>
                <w:sz w:val="24"/>
              </w:rPr>
              <w:t xml:space="preserve">419,57 </w:t>
            </w:r>
          </w:p>
        </w:tc>
        <w:tc>
          <w:tcPr>
            <w:tcW w:w="1088"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4"/>
              <w:jc w:val="right"/>
            </w:pPr>
            <w:r>
              <w:rPr>
                <w:sz w:val="24"/>
              </w:rPr>
              <w:t xml:space="preserve">1726,65 </w:t>
            </w:r>
          </w:p>
        </w:tc>
      </w:tr>
      <w:tr w:rsidR="00FA7413">
        <w:trPr>
          <w:trHeight w:val="310"/>
        </w:trPr>
        <w:tc>
          <w:tcPr>
            <w:tcW w:w="4882"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sz w:val="24"/>
              </w:rPr>
              <w:t xml:space="preserve">diciembre </w:t>
            </w:r>
          </w:p>
        </w:tc>
        <w:tc>
          <w:tcPr>
            <w:tcW w:w="1088"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79"/>
            </w:pPr>
            <w:r>
              <w:rPr>
                <w:sz w:val="24"/>
              </w:rPr>
              <w:t xml:space="preserve">1307,08 </w:t>
            </w:r>
          </w:p>
        </w:tc>
        <w:tc>
          <w:tcPr>
            <w:tcW w:w="143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3"/>
              <w:jc w:val="center"/>
            </w:pPr>
            <w:r>
              <w:rPr>
                <w:sz w:val="24"/>
              </w:rPr>
              <w:t xml:space="preserve">419,57 </w:t>
            </w:r>
          </w:p>
        </w:tc>
        <w:tc>
          <w:tcPr>
            <w:tcW w:w="1088"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4"/>
              <w:jc w:val="right"/>
            </w:pPr>
            <w:r>
              <w:rPr>
                <w:sz w:val="24"/>
              </w:rPr>
              <w:t xml:space="preserve">1726,65 </w:t>
            </w:r>
          </w:p>
        </w:tc>
      </w:tr>
      <w:tr w:rsidR="00FA7413">
        <w:trPr>
          <w:trHeight w:val="310"/>
        </w:trPr>
        <w:tc>
          <w:tcPr>
            <w:tcW w:w="4882" w:type="dxa"/>
            <w:tcBorders>
              <w:top w:val="single" w:sz="4" w:space="0" w:color="000000"/>
              <w:left w:val="single" w:sz="4" w:space="0" w:color="000000"/>
              <w:bottom w:val="single" w:sz="4" w:space="0" w:color="000000"/>
              <w:right w:val="single" w:sz="4" w:space="0" w:color="000000"/>
            </w:tcBorders>
          </w:tcPr>
          <w:p w:rsidR="00FA7413" w:rsidRDefault="00D712A8">
            <w:pPr>
              <w:spacing w:after="0"/>
            </w:pPr>
            <w:r>
              <w:rPr>
                <w:b/>
                <w:sz w:val="24"/>
              </w:rPr>
              <w:t xml:space="preserve">TOTALES </w:t>
            </w:r>
          </w:p>
        </w:tc>
        <w:tc>
          <w:tcPr>
            <w:tcW w:w="1088"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17"/>
              <w:jc w:val="both"/>
            </w:pPr>
            <w:r>
              <w:rPr>
                <w:b/>
                <w:sz w:val="24"/>
              </w:rPr>
              <w:t xml:space="preserve">10312,42 </w:t>
            </w:r>
          </w:p>
        </w:tc>
        <w:tc>
          <w:tcPr>
            <w:tcW w:w="1430"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right="54"/>
              <w:jc w:val="center"/>
            </w:pPr>
            <w:r>
              <w:rPr>
                <w:b/>
                <w:sz w:val="24"/>
              </w:rPr>
              <w:t xml:space="preserve">3310,29 </w:t>
            </w:r>
          </w:p>
        </w:tc>
        <w:tc>
          <w:tcPr>
            <w:tcW w:w="1088" w:type="dxa"/>
            <w:tcBorders>
              <w:top w:val="single" w:sz="4" w:space="0" w:color="000000"/>
              <w:left w:val="single" w:sz="4" w:space="0" w:color="000000"/>
              <w:bottom w:val="single" w:sz="4" w:space="0" w:color="000000"/>
              <w:right w:val="single" w:sz="4" w:space="0" w:color="000000"/>
            </w:tcBorders>
          </w:tcPr>
          <w:p w:rsidR="00FA7413" w:rsidRDefault="00D712A8">
            <w:pPr>
              <w:spacing w:after="0"/>
              <w:ind w:left="17"/>
              <w:jc w:val="both"/>
            </w:pPr>
            <w:r>
              <w:rPr>
                <w:b/>
                <w:sz w:val="24"/>
              </w:rPr>
              <w:t xml:space="preserve">13622,70 </w:t>
            </w:r>
          </w:p>
        </w:tc>
      </w:tr>
    </w:tbl>
    <w:p w:rsidR="00FA7413" w:rsidRDefault="00D712A8">
      <w:pPr>
        <w:spacing w:after="0"/>
        <w:ind w:left="360"/>
      </w:pPr>
      <w:r>
        <w:rPr>
          <w:rFonts w:ascii="Arial" w:eastAsia="Arial" w:hAnsi="Arial" w:cs="Arial"/>
        </w:rPr>
        <w:t xml:space="preserve"> </w:t>
      </w:r>
    </w:p>
    <w:p w:rsidR="00FA7413" w:rsidRDefault="00D712A8">
      <w:pPr>
        <w:spacing w:after="109" w:line="248" w:lineRule="auto"/>
        <w:ind w:left="355" w:right="64" w:hanging="10"/>
        <w:jc w:val="both"/>
      </w:pPr>
      <w:r>
        <w:rPr>
          <w:rFonts w:ascii="Arial" w:eastAsia="Arial" w:hAnsi="Arial" w:cs="Arial"/>
          <w:b/>
        </w:rPr>
        <w:t xml:space="preserve">UNDÉCIMO. - </w:t>
      </w:r>
      <w:r>
        <w:rPr>
          <w:rFonts w:ascii="Arial" w:eastAsia="Arial" w:hAnsi="Arial" w:cs="Arial"/>
        </w:rPr>
        <w:t xml:space="preserve">Dar traslado de la resolución adoptada a la Intervención, Tesorería Municipal a los efectos oportunos y al Juzgado de lo Social nº 6, de Santa Cruz de Tenerife para su conocimiento. </w:t>
      </w:r>
    </w:p>
    <w:p w:rsidR="00FA7413" w:rsidRDefault="00D712A8">
      <w:pPr>
        <w:spacing w:after="98"/>
        <w:ind w:left="360"/>
      </w:pPr>
      <w:r>
        <w:rPr>
          <w:rFonts w:ascii="Arial" w:eastAsia="Arial" w:hAnsi="Arial" w:cs="Arial"/>
        </w:rPr>
        <w:t xml:space="preserve">  </w:t>
      </w:r>
    </w:p>
    <w:p w:rsidR="00FA7413" w:rsidRDefault="00D712A8">
      <w:pPr>
        <w:spacing w:after="112" w:line="248" w:lineRule="auto"/>
        <w:ind w:left="355" w:right="62" w:hanging="10"/>
        <w:jc w:val="both"/>
      </w:pPr>
      <w:r>
        <w:rPr>
          <w:rFonts w:ascii="Arial" w:eastAsia="Arial" w:hAnsi="Arial" w:cs="Arial"/>
          <w:b/>
        </w:rPr>
        <w:t>Lo manda y firma el Concejal delegado de Hacienda, Recursos Humanos, Empresas Municipales y Concesionarias (Decreto nº 2025/2019, de 24 de junio) de todo lo cual da fe pública el Secretario General en virtud de lo dispuesto en el artículo 3.2 e) y h) del R</w:t>
      </w:r>
      <w:r>
        <w:rPr>
          <w:rFonts w:ascii="Arial" w:eastAsia="Arial" w:hAnsi="Arial" w:cs="Arial"/>
          <w:b/>
        </w:rPr>
        <w:t>eal Decreto 128/2018, de 16 de marzo, por el que se regula el régimen jurídico de los funcionarios de Administración Local con habilitación de carácter nacional</w:t>
      </w:r>
      <w:r>
        <w:rPr>
          <w:rFonts w:ascii="Arial" w:eastAsia="Arial" w:hAnsi="Arial" w:cs="Arial"/>
        </w:rPr>
        <w:t xml:space="preserve">.” </w:t>
      </w:r>
    </w:p>
    <w:p w:rsidR="00FA7413" w:rsidRDefault="00D712A8">
      <w:pPr>
        <w:spacing w:after="98"/>
        <w:ind w:left="360"/>
      </w:pPr>
      <w:r>
        <w:rPr>
          <w:rFonts w:ascii="Arial" w:eastAsia="Arial" w:hAnsi="Arial" w:cs="Arial"/>
        </w:rPr>
        <w:t xml:space="preserve"> </w:t>
      </w:r>
    </w:p>
    <w:p w:rsidR="00FA7413" w:rsidRDefault="00D712A8">
      <w:pPr>
        <w:spacing w:after="112" w:line="248" w:lineRule="auto"/>
        <w:ind w:left="355" w:right="62" w:hanging="10"/>
        <w:jc w:val="both"/>
      </w:pPr>
      <w:r>
        <w:rPr>
          <w:rFonts w:ascii="Arial" w:eastAsia="Arial" w:hAnsi="Arial" w:cs="Arial"/>
          <w:b/>
        </w:rPr>
        <w:t>2.- Consta en el expediente Decreto del Concejal delegado de Recursos Humanos nº 1761/2021</w:t>
      </w:r>
      <w:r>
        <w:rPr>
          <w:rFonts w:ascii="Arial" w:eastAsia="Arial" w:hAnsi="Arial" w:cs="Arial"/>
          <w:b/>
        </w:rPr>
        <w:t xml:space="preserve">, de fecha 23 de junio de 2021, que transcrito literalmente dice: </w:t>
      </w:r>
    </w:p>
    <w:p w:rsidR="00FA7413" w:rsidRDefault="00D712A8">
      <w:pPr>
        <w:spacing w:after="98"/>
        <w:ind w:left="346"/>
        <w:jc w:val="center"/>
      </w:pPr>
      <w:r>
        <w:rPr>
          <w:rFonts w:ascii="Arial" w:eastAsia="Arial" w:hAnsi="Arial" w:cs="Arial"/>
          <w:b/>
        </w:rPr>
        <w:t xml:space="preserve"> </w:t>
      </w:r>
    </w:p>
    <w:p w:rsidR="00FA7413" w:rsidRDefault="00D712A8">
      <w:pPr>
        <w:spacing w:after="100"/>
        <w:ind w:left="346"/>
        <w:jc w:val="center"/>
      </w:pPr>
      <w:r>
        <w:rPr>
          <w:rFonts w:ascii="Arial" w:eastAsia="Arial" w:hAnsi="Arial" w:cs="Arial"/>
          <w:b/>
        </w:rPr>
        <w:t xml:space="preserve"> </w:t>
      </w:r>
    </w:p>
    <w:p w:rsidR="00FA7413" w:rsidRDefault="00D712A8">
      <w:pPr>
        <w:pStyle w:val="Ttulo2"/>
        <w:ind w:left="1013" w:right="720"/>
      </w:pPr>
      <w:r>
        <w:t>DECRETO</w:t>
      </w:r>
      <w:r>
        <w:rPr>
          <w:b w:val="0"/>
        </w:rPr>
        <w:t xml:space="preserve"> </w:t>
      </w:r>
    </w:p>
    <w:p w:rsidR="00FA7413" w:rsidRDefault="00D712A8">
      <w:pPr>
        <w:spacing w:after="112" w:line="248" w:lineRule="auto"/>
        <w:ind w:left="355" w:right="62" w:hanging="10"/>
        <w:jc w:val="both"/>
      </w:pPr>
      <w:r>
        <w:rPr>
          <w:rFonts w:ascii="Arial" w:eastAsia="Arial" w:hAnsi="Arial" w:cs="Arial"/>
          <w:b/>
        </w:rPr>
        <w:t>Visto el informe jurídico con propuesta de resolución firmado por Doña María del Pilar Chico Delgado, Técnica de Administración General, debidamente conformado por el funcionar</w:t>
      </w:r>
      <w:r>
        <w:rPr>
          <w:rFonts w:ascii="Arial" w:eastAsia="Arial" w:hAnsi="Arial" w:cs="Arial"/>
          <w:b/>
        </w:rPr>
        <w:t>io con habilitación nacional, D. Nicolás Rojo Garnica, que transcrito literalmente dice:</w:t>
      </w:r>
      <w:r>
        <w:rPr>
          <w:rFonts w:ascii="Arial" w:eastAsia="Arial" w:hAnsi="Arial" w:cs="Arial"/>
        </w:rPr>
        <w:t xml:space="preserve"> </w:t>
      </w:r>
    </w:p>
    <w:p w:rsidR="00FA7413" w:rsidRDefault="00D712A8">
      <w:pPr>
        <w:pStyle w:val="Ttulo2"/>
        <w:ind w:left="1013" w:right="721"/>
      </w:pPr>
      <w:r>
        <w:t xml:space="preserve">ANTECEDENTES DE HECHO </w:t>
      </w:r>
    </w:p>
    <w:p w:rsidR="00FA7413" w:rsidRDefault="00D712A8">
      <w:pPr>
        <w:spacing w:after="110"/>
        <w:ind w:left="346"/>
        <w:jc w:val="center"/>
      </w:pPr>
      <w:r>
        <w:rPr>
          <w:noProof/>
        </w:rPr>
        <mc:AlternateContent>
          <mc:Choice Requires="wpg">
            <w:drawing>
              <wp:anchor distT="0" distB="0" distL="114300" distR="114300" simplePos="0" relativeHeight="251833344" behindDoc="0" locked="0" layoutInCell="1" allowOverlap="1">
                <wp:simplePos x="0" y="0"/>
                <wp:positionH relativeFrom="page">
                  <wp:posOffset>8664935</wp:posOffset>
                </wp:positionH>
                <wp:positionV relativeFrom="page">
                  <wp:posOffset>6811442</wp:posOffset>
                </wp:positionV>
                <wp:extent cx="161330" cy="3499942"/>
                <wp:effectExtent l="0" t="0" r="0" b="0"/>
                <wp:wrapTopAndBottom/>
                <wp:docPr id="224996" name="Group 224996"/>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23517" name="Rectangle 23517"/>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23518" name="Rectangle 23518"/>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Documento firmado electrónicamente desde</w:t>
                              </w:r>
                              <w:r>
                                <w:rPr>
                                  <w:rFonts w:ascii="Arial" w:eastAsia="Arial" w:hAnsi="Arial" w:cs="Arial"/>
                                  <w:sz w:val="12"/>
                                </w:rPr>
                                <w:t xml:space="preserve"> la plataforma esPublico Gestiona | Página 169 de 180 </w:t>
                              </w:r>
                            </w:p>
                          </w:txbxContent>
                        </wps:txbx>
                        <wps:bodyPr horzOverflow="overflow" vert="horz" lIns="0" tIns="0" rIns="0" bIns="0" rtlCol="0">
                          <a:noAutofit/>
                        </wps:bodyPr>
                      </wps:wsp>
                    </wpg:wgp>
                  </a:graphicData>
                </a:graphic>
              </wp:anchor>
            </w:drawing>
          </mc:Choice>
          <mc:Fallback xmlns:a="http://schemas.openxmlformats.org/drawingml/2006/main">
            <w:pict>
              <v:group id="Group 224996" style="width:12.7031pt;height:275.586pt;position:absolute;mso-position-horizontal-relative:page;mso-position-horizontal:absolute;margin-left:682.278pt;mso-position-vertical-relative:page;margin-top:536.334pt;" coordsize="1613,34999">
                <v:rect id="Rectangle 23517"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23518"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169 de 180 </w:t>
                        </w:r>
                      </w:p>
                    </w:txbxContent>
                  </v:textbox>
                </v:rect>
                <w10:wrap type="topAndBottom"/>
              </v:group>
            </w:pict>
          </mc:Fallback>
        </mc:AlternateContent>
      </w:r>
      <w:r>
        <w:rPr>
          <w:rFonts w:ascii="Arial" w:eastAsia="Arial" w:hAnsi="Arial" w:cs="Arial"/>
        </w:rPr>
        <w:t xml:space="preserve"> </w:t>
      </w:r>
    </w:p>
    <w:p w:rsidR="00FA7413" w:rsidRDefault="00D712A8">
      <w:pPr>
        <w:spacing w:after="10" w:line="249" w:lineRule="auto"/>
        <w:ind w:left="355" w:hanging="10"/>
      </w:pPr>
      <w:r>
        <w:rPr>
          <w:rFonts w:ascii="Times New Roman" w:eastAsia="Times New Roman" w:hAnsi="Times New Roman" w:cs="Times New Roman"/>
          <w:sz w:val="24"/>
        </w:rPr>
        <w:t xml:space="preserve">Visto el Diligencia de fecha 17 de junio de 2021, relativo a los datos que se indican a continuación, del siguiente tenor literal: </w: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spacing w:after="0"/>
        <w:ind w:right="541"/>
        <w:jc w:val="right"/>
      </w:pPr>
      <w:r>
        <w:rPr>
          <w:noProof/>
        </w:rPr>
        <w:drawing>
          <wp:inline distT="0" distB="0" distL="0" distR="0">
            <wp:extent cx="5737860" cy="1821180"/>
            <wp:effectExtent l="0" t="0" r="0" b="0"/>
            <wp:docPr id="23514" name="Picture 23514"/>
            <wp:cNvGraphicFramePr/>
            <a:graphic xmlns:a="http://schemas.openxmlformats.org/drawingml/2006/main">
              <a:graphicData uri="http://schemas.openxmlformats.org/drawingml/2006/picture">
                <pic:pic xmlns:pic="http://schemas.openxmlformats.org/drawingml/2006/picture">
                  <pic:nvPicPr>
                    <pic:cNvPr id="23514" name="Picture 23514"/>
                    <pic:cNvPicPr/>
                  </pic:nvPicPr>
                  <pic:blipFill>
                    <a:blip r:embed="rId47"/>
                    <a:stretch>
                      <a:fillRect/>
                    </a:stretch>
                  </pic:blipFill>
                  <pic:spPr>
                    <a:xfrm>
                      <a:off x="0" y="0"/>
                      <a:ext cx="5737860" cy="1821180"/>
                    </a:xfrm>
                    <a:prstGeom prst="rect">
                      <a:avLst/>
                    </a:prstGeom>
                  </pic:spPr>
                </pic:pic>
              </a:graphicData>
            </a:graphic>
          </wp:inline>
        </w:drawing>
      </w:r>
      <w:r>
        <w:rPr>
          <w:rFonts w:ascii="Times New Roman" w:eastAsia="Times New Roman" w:hAnsi="Times New Roman" w:cs="Times New Roman"/>
          <w:sz w:val="24"/>
        </w:rPr>
        <w:t xml:space="preserve"> </w: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spacing w:after="0"/>
        <w:ind w:left="360"/>
      </w:pPr>
      <w:r>
        <w:rPr>
          <w:rFonts w:ascii="Times New Roman" w:eastAsia="Times New Roman" w:hAnsi="Times New Roman" w:cs="Times New Roman"/>
          <w:sz w:val="20"/>
        </w:rPr>
        <w:t xml:space="preserve"> </w:t>
      </w:r>
    </w:p>
    <w:p w:rsidR="00FA7413" w:rsidRDefault="00D712A8">
      <w:pPr>
        <w:spacing w:after="62"/>
        <w:ind w:right="607"/>
        <w:jc w:val="right"/>
      </w:pPr>
      <w:r>
        <w:rPr>
          <w:noProof/>
        </w:rPr>
        <w:drawing>
          <wp:inline distT="0" distB="0" distL="0" distR="0">
            <wp:extent cx="5692140" cy="2255520"/>
            <wp:effectExtent l="0" t="0" r="0" b="0"/>
            <wp:docPr id="23599" name="Picture 23599"/>
            <wp:cNvGraphicFramePr/>
            <a:graphic xmlns:a="http://schemas.openxmlformats.org/drawingml/2006/main">
              <a:graphicData uri="http://schemas.openxmlformats.org/drawingml/2006/picture">
                <pic:pic xmlns:pic="http://schemas.openxmlformats.org/drawingml/2006/picture">
                  <pic:nvPicPr>
                    <pic:cNvPr id="23599" name="Picture 23599"/>
                    <pic:cNvPicPr/>
                  </pic:nvPicPr>
                  <pic:blipFill>
                    <a:blip r:embed="rId48"/>
                    <a:stretch>
                      <a:fillRect/>
                    </a:stretch>
                  </pic:blipFill>
                  <pic:spPr>
                    <a:xfrm>
                      <a:off x="0" y="0"/>
                      <a:ext cx="5692140" cy="2255520"/>
                    </a:xfrm>
                    <a:prstGeom prst="rect">
                      <a:avLst/>
                    </a:prstGeom>
                  </pic:spPr>
                </pic:pic>
              </a:graphicData>
            </a:graphic>
          </wp:inline>
        </w:drawing>
      </w:r>
      <w:r>
        <w:rPr>
          <w:rFonts w:ascii="Arial" w:eastAsia="Arial" w:hAnsi="Arial" w:cs="Arial"/>
        </w:rPr>
        <w:t xml:space="preserve"> </w:t>
      </w:r>
    </w:p>
    <w:p w:rsidR="00FA7413" w:rsidRDefault="00D712A8">
      <w:pPr>
        <w:spacing w:after="212" w:line="249" w:lineRule="auto"/>
        <w:ind w:left="355" w:hanging="10"/>
      </w:pPr>
      <w:r>
        <w:rPr>
          <w:rFonts w:ascii="Times New Roman" w:eastAsia="Times New Roman" w:hAnsi="Times New Roman" w:cs="Times New Roman"/>
          <w:sz w:val="24"/>
        </w:rPr>
        <w:t xml:space="preserve">Visto documento de retención de crédito RC 2.21.0.04788. </w:t>
      </w:r>
    </w:p>
    <w:p w:rsidR="00FA7413" w:rsidRDefault="00D712A8">
      <w:pPr>
        <w:pStyle w:val="Ttulo2"/>
        <w:ind w:left="1013" w:right="719"/>
      </w:pPr>
      <w:r>
        <w:t>FUNDAMIENTOS DE DERECHO</w:t>
      </w:r>
      <w:r>
        <w:rPr>
          <w:b w:val="0"/>
        </w:rPr>
        <w:t xml:space="preserve"> </w:t>
      </w:r>
    </w:p>
    <w:p w:rsidR="00FA7413" w:rsidRDefault="00D712A8">
      <w:pPr>
        <w:spacing w:after="93" w:line="249" w:lineRule="auto"/>
        <w:ind w:left="355" w:hanging="10"/>
      </w:pPr>
      <w:r>
        <w:rPr>
          <w:rFonts w:ascii="Times New Roman" w:eastAsia="Times New Roman" w:hAnsi="Times New Roman" w:cs="Times New Roman"/>
          <w:sz w:val="24"/>
        </w:rPr>
        <w:t xml:space="preserve">Resultan de aplicación los siguientes: </w:t>
      </w:r>
    </w:p>
    <w:p w:rsidR="00FA7413" w:rsidRDefault="00D712A8">
      <w:pPr>
        <w:numPr>
          <w:ilvl w:val="0"/>
          <w:numId w:val="42"/>
        </w:numPr>
        <w:spacing w:after="10" w:line="249" w:lineRule="auto"/>
        <w:ind w:hanging="360"/>
      </w:pPr>
      <w:r>
        <w:rPr>
          <w:rFonts w:ascii="Times New Roman" w:eastAsia="Times New Roman" w:hAnsi="Times New Roman" w:cs="Times New Roman"/>
          <w:sz w:val="24"/>
        </w:rPr>
        <w:t xml:space="preserve">El artículo 118 de la Constitución Española. </w:t>
      </w:r>
    </w:p>
    <w:p w:rsidR="00FA7413" w:rsidRDefault="00D712A8">
      <w:pPr>
        <w:numPr>
          <w:ilvl w:val="0"/>
          <w:numId w:val="42"/>
        </w:numPr>
        <w:spacing w:after="10" w:line="249" w:lineRule="auto"/>
        <w:ind w:hanging="360"/>
      </w:pPr>
      <w:r>
        <w:rPr>
          <w:rFonts w:ascii="Times New Roman" w:eastAsia="Times New Roman" w:hAnsi="Times New Roman" w:cs="Times New Roman"/>
          <w:sz w:val="24"/>
        </w:rPr>
        <w:t xml:space="preserve">Los artículos 17 y 25 de la Ley Orgánica 6/1985, de 1 de julio, del Poder Judicial. </w:t>
      </w:r>
    </w:p>
    <w:p w:rsidR="00FA7413" w:rsidRDefault="00D712A8">
      <w:pPr>
        <w:numPr>
          <w:ilvl w:val="0"/>
          <w:numId w:val="42"/>
        </w:numPr>
        <w:spacing w:after="102" w:line="249" w:lineRule="auto"/>
        <w:ind w:hanging="360"/>
      </w:pPr>
      <w:r>
        <w:rPr>
          <w:rFonts w:ascii="Times New Roman" w:eastAsia="Times New Roman" w:hAnsi="Times New Roman" w:cs="Times New Roman"/>
          <w:sz w:val="24"/>
        </w:rPr>
        <w:t>Lo</w:t>
      </w:r>
      <w:r>
        <w:rPr>
          <w:rFonts w:ascii="Times New Roman" w:eastAsia="Times New Roman" w:hAnsi="Times New Roman" w:cs="Times New Roman"/>
          <w:sz w:val="24"/>
        </w:rPr>
        <w:t xml:space="preserve">s artículos 287 y 288 de la Ley 36/2011, de 10 de octubre, reguladora de la jurisdicción social. </w:t>
      </w:r>
    </w:p>
    <w:p w:rsidR="00FA7413" w:rsidRDefault="00D712A8">
      <w:pPr>
        <w:spacing w:after="212" w:line="249" w:lineRule="auto"/>
        <w:ind w:left="355" w:hanging="10"/>
      </w:pPr>
      <w:r>
        <w:rPr>
          <w:rFonts w:ascii="Times New Roman" w:eastAsia="Times New Roman" w:hAnsi="Times New Roman" w:cs="Times New Roman"/>
          <w:sz w:val="24"/>
        </w:rPr>
        <w:t xml:space="preserve">En base a los antecedentes de hecho y fundamentos de derecho expuestos, la Técnica de Administración General que suscribe formula la siguiente.  </w:t>
      </w:r>
    </w:p>
    <w:p w:rsidR="00FA7413" w:rsidRDefault="00D712A8">
      <w:pPr>
        <w:pStyle w:val="Ttulo2"/>
        <w:ind w:left="1013" w:right="714"/>
      </w:pPr>
      <w:r>
        <w:t>PROPUESTA DE</w:t>
      </w:r>
      <w:r>
        <w:t xml:space="preserve"> RESOLUCIÓN</w:t>
      </w:r>
      <w:r>
        <w:rPr>
          <w:b w:val="0"/>
        </w:rPr>
        <w:t xml:space="preserve"> </w:t>
      </w:r>
    </w:p>
    <w:p w:rsidR="00FA7413" w:rsidRDefault="00D712A8">
      <w:pPr>
        <w:spacing w:after="109" w:line="248" w:lineRule="auto"/>
        <w:ind w:left="355" w:right="64" w:hanging="10"/>
        <w:jc w:val="both"/>
      </w:pPr>
      <w:r>
        <w:rPr>
          <w:noProof/>
        </w:rPr>
        <mc:AlternateContent>
          <mc:Choice Requires="wpg">
            <w:drawing>
              <wp:anchor distT="0" distB="0" distL="114300" distR="114300" simplePos="0" relativeHeight="251834368"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25963" name="Group 225963"/>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23604" name="Rectangle 23604"/>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23605" name="Rectangle 23605"/>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170 de 180 </w:t>
                              </w:r>
                            </w:p>
                          </w:txbxContent>
                        </wps:txbx>
                        <wps:bodyPr horzOverflow="overflow" vert="horz" lIns="0" tIns="0" rIns="0" bIns="0" rtlCol="0">
                          <a:noAutofit/>
                        </wps:bodyPr>
                      </wps:wsp>
                    </wpg:wgp>
                  </a:graphicData>
                </a:graphic>
              </wp:anchor>
            </w:drawing>
          </mc:Choice>
          <mc:Fallback xmlns:a="http://schemas.openxmlformats.org/drawingml/2006/main">
            <w:pict>
              <v:group id="Group 225963" style="width:12.7031pt;height:275.586pt;position:absolute;mso-position-horizontal-relative:page;mso-position-horizontal:absolute;margin-left:682.278pt;mso-position-vertical-relative:page;margin-top:536.334pt;" coordsize="1613,34999">
                <v:rect id="Rectangle 23604"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23605"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170 de 180 </w:t>
                        </w:r>
                      </w:p>
                    </w:txbxContent>
                  </v:textbox>
                </v:rect>
                <w10:wrap type="square"/>
              </v:group>
            </w:pict>
          </mc:Fallback>
        </mc:AlternateContent>
      </w:r>
      <w:r>
        <w:rPr>
          <w:rFonts w:ascii="Arial" w:eastAsia="Arial" w:hAnsi="Arial" w:cs="Arial"/>
          <w:b/>
        </w:rPr>
        <w:t>PRIMERO. -</w:t>
      </w:r>
      <w:r>
        <w:rPr>
          <w:rFonts w:ascii="Arial" w:eastAsia="Arial" w:hAnsi="Arial" w:cs="Arial"/>
        </w:rPr>
        <w:t xml:space="preserve"> </w:t>
      </w:r>
      <w:r>
        <w:rPr>
          <w:rFonts w:ascii="Arial" w:eastAsia="Arial" w:hAnsi="Arial" w:cs="Arial"/>
        </w:rPr>
        <w:t xml:space="preserve">Dar cumplimiento a la Diligencia del Juzgado en relación con el expediente cuyos datos se transcriben a continuación: </w:t>
      </w:r>
    </w:p>
    <w:p w:rsidR="00FA7413" w:rsidRDefault="00D712A8">
      <w:pPr>
        <w:spacing w:after="0"/>
        <w:ind w:right="459"/>
        <w:jc w:val="right"/>
      </w:pPr>
      <w:r>
        <w:rPr>
          <w:noProof/>
        </w:rPr>
        <w:drawing>
          <wp:inline distT="0" distB="0" distL="0" distR="0">
            <wp:extent cx="5789676" cy="1821180"/>
            <wp:effectExtent l="0" t="0" r="0" b="0"/>
            <wp:docPr id="23601" name="Picture 23601"/>
            <wp:cNvGraphicFramePr/>
            <a:graphic xmlns:a="http://schemas.openxmlformats.org/drawingml/2006/main">
              <a:graphicData uri="http://schemas.openxmlformats.org/drawingml/2006/picture">
                <pic:pic xmlns:pic="http://schemas.openxmlformats.org/drawingml/2006/picture">
                  <pic:nvPicPr>
                    <pic:cNvPr id="23601" name="Picture 23601"/>
                    <pic:cNvPicPr/>
                  </pic:nvPicPr>
                  <pic:blipFill>
                    <a:blip r:embed="rId47"/>
                    <a:stretch>
                      <a:fillRect/>
                    </a:stretch>
                  </pic:blipFill>
                  <pic:spPr>
                    <a:xfrm>
                      <a:off x="0" y="0"/>
                      <a:ext cx="5789676" cy="1821180"/>
                    </a:xfrm>
                    <a:prstGeom prst="rect">
                      <a:avLst/>
                    </a:prstGeom>
                  </pic:spPr>
                </pic:pic>
              </a:graphicData>
            </a:graphic>
          </wp:inline>
        </w:drawing>
      </w:r>
      <w:r>
        <w:rPr>
          <w:rFonts w:ascii="Times New Roman" w:eastAsia="Times New Roman" w:hAnsi="Times New Roman" w:cs="Times New Roman"/>
          <w:sz w:val="24"/>
        </w:rPr>
        <w:t xml:space="preserve"> </w: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spacing w:after="109" w:line="248" w:lineRule="auto"/>
        <w:ind w:left="355" w:right="64" w:hanging="10"/>
        <w:jc w:val="both"/>
      </w:pPr>
      <w:r>
        <w:rPr>
          <w:rFonts w:ascii="Arial" w:eastAsia="Arial" w:hAnsi="Arial" w:cs="Arial"/>
          <w:b/>
        </w:rPr>
        <w:t xml:space="preserve">SEGUNDO. - </w:t>
      </w:r>
      <w:r>
        <w:rPr>
          <w:rFonts w:ascii="Arial" w:eastAsia="Arial" w:hAnsi="Arial" w:cs="Arial"/>
        </w:rPr>
        <w:t xml:space="preserve">Aprobar y ordenar el pago de la cantidad de </w:t>
      </w:r>
      <w:r>
        <w:rPr>
          <w:rFonts w:ascii="Arial" w:eastAsia="Arial" w:hAnsi="Arial" w:cs="Arial"/>
          <w:b/>
        </w:rPr>
        <w:t>6.069,65</w:t>
      </w:r>
      <w:r>
        <w:rPr>
          <w:rFonts w:ascii="Arial" w:eastAsia="Arial" w:hAnsi="Arial" w:cs="Arial"/>
        </w:rPr>
        <w:t xml:space="preserve"> euros en concepto de intereses y costas. </w:t>
      </w:r>
    </w:p>
    <w:p w:rsidR="00FA7413" w:rsidRDefault="00D712A8">
      <w:pPr>
        <w:spacing w:after="109" w:line="248" w:lineRule="auto"/>
        <w:ind w:left="355" w:right="64" w:hanging="10"/>
        <w:jc w:val="both"/>
      </w:pPr>
      <w:r>
        <w:rPr>
          <w:rFonts w:ascii="Arial" w:eastAsia="Arial" w:hAnsi="Arial" w:cs="Arial"/>
          <w:b/>
        </w:rPr>
        <w:t>TERCERO</w:t>
      </w:r>
      <w:r>
        <w:rPr>
          <w:rFonts w:ascii="Arial" w:eastAsia="Arial" w:hAnsi="Arial" w:cs="Arial"/>
        </w:rPr>
        <w:t>. - Proceder al i</w:t>
      </w:r>
      <w:r>
        <w:rPr>
          <w:rFonts w:ascii="Arial" w:eastAsia="Arial" w:hAnsi="Arial" w:cs="Arial"/>
        </w:rPr>
        <w:t>ngreso de las cantidades reclamadas mediante ingreso en la cuenta de depósitos y consignaciones del Juzgado de lo Social nº 6, en el BANCO SANTANDER c/c 3948 0000 64 0141 20; para el supuesto de ingreso por transferencia bancaria, deberá realizarse la mism</w:t>
      </w:r>
      <w:r>
        <w:rPr>
          <w:rFonts w:ascii="Arial" w:eastAsia="Arial" w:hAnsi="Arial" w:cs="Arial"/>
        </w:rPr>
        <w:t xml:space="preserve">a el siguiente número de cuenta: IBAN ES55 0049 3569 9200 0500 1274. </w:t>
      </w:r>
    </w:p>
    <w:p w:rsidR="00FA7413" w:rsidRDefault="00D712A8">
      <w:pPr>
        <w:spacing w:after="109" w:line="248" w:lineRule="auto"/>
        <w:ind w:left="355" w:right="64" w:hanging="10"/>
        <w:jc w:val="both"/>
      </w:pPr>
      <w:r>
        <w:rPr>
          <w:rFonts w:ascii="Arial" w:eastAsia="Arial" w:hAnsi="Arial" w:cs="Arial"/>
          <w:b/>
        </w:rPr>
        <w:t>CUARTO. -</w:t>
      </w:r>
      <w:r>
        <w:rPr>
          <w:rFonts w:ascii="Arial" w:eastAsia="Arial" w:hAnsi="Arial" w:cs="Arial"/>
        </w:rPr>
        <w:t xml:space="preserve"> Dar traslado de la resolución adoptada a la Intervención, Tesorería Municipal a los efectos oportunos y al Juzgado de lo Social nº 6, de Santa Cruz de Tenerife para su conocimi</w:t>
      </w:r>
      <w:r>
        <w:rPr>
          <w:rFonts w:ascii="Arial" w:eastAsia="Arial" w:hAnsi="Arial" w:cs="Arial"/>
        </w:rPr>
        <w:t xml:space="preserve">ento. </w:t>
      </w:r>
    </w:p>
    <w:p w:rsidR="00FA7413" w:rsidRDefault="00D712A8">
      <w:pPr>
        <w:spacing w:after="109" w:line="248" w:lineRule="auto"/>
        <w:ind w:left="355" w:right="64" w:hanging="10"/>
        <w:jc w:val="both"/>
      </w:pPr>
      <w:r>
        <w:rPr>
          <w:rFonts w:ascii="Arial" w:eastAsia="Arial" w:hAnsi="Arial" w:cs="Arial"/>
        </w:rPr>
        <w:t xml:space="preserve">Es cuanto puedo informar, salvo error u omisión involuntaria </w:t>
      </w:r>
    </w:p>
    <w:p w:rsidR="00FA7413" w:rsidRDefault="00D712A8">
      <w:pPr>
        <w:spacing w:after="98"/>
        <w:ind w:left="360"/>
      </w:pPr>
      <w:r>
        <w:rPr>
          <w:rFonts w:ascii="Arial" w:eastAsia="Arial" w:hAnsi="Arial" w:cs="Arial"/>
        </w:rPr>
        <w:t xml:space="preserve">                                           </w:t>
      </w:r>
    </w:p>
    <w:p w:rsidR="00FA7413" w:rsidRDefault="00D712A8">
      <w:pPr>
        <w:pStyle w:val="Ttulo2"/>
        <w:ind w:left="1013" w:right="713"/>
      </w:pPr>
      <w:r>
        <w:t xml:space="preserve">RESOLUCIÓN </w:t>
      </w:r>
    </w:p>
    <w:p w:rsidR="00FA7413" w:rsidRDefault="00D712A8">
      <w:pPr>
        <w:spacing w:after="109" w:line="248" w:lineRule="auto"/>
        <w:ind w:left="355" w:right="64" w:hanging="10"/>
        <w:jc w:val="both"/>
      </w:pPr>
      <w:r>
        <w:rPr>
          <w:rFonts w:ascii="Arial" w:eastAsia="Arial" w:hAnsi="Arial" w:cs="Arial"/>
        </w:rPr>
        <w:t xml:space="preserve">Visto el informe transcrito precedentemente, esta Concejalía delegada, en uso de las atribuciones legalmente conferidas resuelve:  </w:t>
      </w:r>
      <w:r>
        <w:rPr>
          <w:rFonts w:ascii="Arial" w:eastAsia="Arial" w:hAnsi="Arial" w:cs="Arial"/>
        </w:rPr>
        <w:t xml:space="preserve">                  </w:t>
      </w:r>
    </w:p>
    <w:p w:rsidR="00FA7413" w:rsidRDefault="00D712A8">
      <w:pPr>
        <w:spacing w:after="98"/>
        <w:ind w:left="360"/>
      </w:pPr>
      <w:r>
        <w:rPr>
          <w:rFonts w:ascii="Arial" w:eastAsia="Arial" w:hAnsi="Arial" w:cs="Arial"/>
          <w:b/>
        </w:rPr>
        <w:t xml:space="preserve"> </w:t>
      </w:r>
    </w:p>
    <w:p w:rsidR="00FA7413" w:rsidRDefault="00D712A8">
      <w:pPr>
        <w:spacing w:after="109" w:line="248" w:lineRule="auto"/>
        <w:ind w:left="355" w:right="64" w:hanging="10"/>
        <w:jc w:val="both"/>
      </w:pPr>
      <w:r>
        <w:rPr>
          <w:noProof/>
        </w:rPr>
        <mc:AlternateContent>
          <mc:Choice Requires="wpg">
            <w:drawing>
              <wp:anchor distT="0" distB="0" distL="114300" distR="114300" simplePos="0" relativeHeight="251835392"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27128" name="Group 227128"/>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23790" name="Rectangle 23790"/>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23791" name="Rectangle 23791"/>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171 de 180 </w:t>
                              </w:r>
                            </w:p>
                          </w:txbxContent>
                        </wps:txbx>
                        <wps:bodyPr horzOverflow="overflow" vert="horz" lIns="0" tIns="0" rIns="0" bIns="0" rtlCol="0">
                          <a:noAutofit/>
                        </wps:bodyPr>
                      </wps:wsp>
                    </wpg:wgp>
                  </a:graphicData>
                </a:graphic>
              </wp:anchor>
            </w:drawing>
          </mc:Choice>
          <mc:Fallback xmlns:a="http://schemas.openxmlformats.org/drawingml/2006/main">
            <w:pict>
              <v:group id="Group 227128" style="width:12.7031pt;height:275.586pt;position:absolute;mso-position-horizontal-relative:page;mso-position-horizontal:absolute;margin-left:682.278pt;mso-position-vertical-relative:page;margin-top:536.334pt;" coordsize="1613,34999">
                <v:rect id="Rectangle 23790"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23791"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171 de 180 </w:t>
                        </w:r>
                      </w:p>
                    </w:txbxContent>
                  </v:textbox>
                </v:rect>
                <w10:wrap type="square"/>
              </v:group>
            </w:pict>
          </mc:Fallback>
        </mc:AlternateContent>
      </w:r>
      <w:r>
        <w:rPr>
          <w:rFonts w:ascii="Arial" w:eastAsia="Arial" w:hAnsi="Arial" w:cs="Arial"/>
          <w:b/>
        </w:rPr>
        <w:t>PRIMERO.-</w:t>
      </w:r>
      <w:r>
        <w:rPr>
          <w:rFonts w:ascii="Arial" w:eastAsia="Arial" w:hAnsi="Arial" w:cs="Arial"/>
        </w:rPr>
        <w:t xml:space="preserve"> </w:t>
      </w:r>
      <w:r>
        <w:rPr>
          <w:rFonts w:ascii="Arial" w:eastAsia="Arial" w:hAnsi="Arial" w:cs="Arial"/>
        </w:rPr>
        <w:t xml:space="preserve">Dar cumplimiento a la Diligencia del Juzgado en relación con el expediente cuyos datos se transcriben a continuación: </w:t>
      </w:r>
    </w:p>
    <w:p w:rsidR="00FA7413" w:rsidRDefault="00D712A8">
      <w:pPr>
        <w:spacing w:after="0"/>
        <w:ind w:right="459"/>
        <w:jc w:val="right"/>
      </w:pPr>
      <w:r>
        <w:rPr>
          <w:noProof/>
        </w:rPr>
        <w:drawing>
          <wp:inline distT="0" distB="0" distL="0" distR="0">
            <wp:extent cx="5789676" cy="1821180"/>
            <wp:effectExtent l="0" t="0" r="0" b="0"/>
            <wp:docPr id="23787" name="Picture 23787"/>
            <wp:cNvGraphicFramePr/>
            <a:graphic xmlns:a="http://schemas.openxmlformats.org/drawingml/2006/main">
              <a:graphicData uri="http://schemas.openxmlformats.org/drawingml/2006/picture">
                <pic:pic xmlns:pic="http://schemas.openxmlformats.org/drawingml/2006/picture">
                  <pic:nvPicPr>
                    <pic:cNvPr id="23787" name="Picture 23787"/>
                    <pic:cNvPicPr/>
                  </pic:nvPicPr>
                  <pic:blipFill>
                    <a:blip r:embed="rId47"/>
                    <a:stretch>
                      <a:fillRect/>
                    </a:stretch>
                  </pic:blipFill>
                  <pic:spPr>
                    <a:xfrm>
                      <a:off x="0" y="0"/>
                      <a:ext cx="5789676" cy="1821180"/>
                    </a:xfrm>
                    <a:prstGeom prst="rect">
                      <a:avLst/>
                    </a:prstGeom>
                  </pic:spPr>
                </pic:pic>
              </a:graphicData>
            </a:graphic>
          </wp:inline>
        </w:drawing>
      </w:r>
      <w:r>
        <w:rPr>
          <w:rFonts w:ascii="Times New Roman" w:eastAsia="Times New Roman" w:hAnsi="Times New Roman" w:cs="Times New Roman"/>
          <w:sz w:val="24"/>
        </w:rPr>
        <w:t xml:space="preserve"> </w: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spacing w:after="0"/>
        <w:ind w:left="360"/>
      </w:pPr>
      <w:r>
        <w:rPr>
          <w:rFonts w:ascii="Times New Roman" w:eastAsia="Times New Roman" w:hAnsi="Times New Roman" w:cs="Times New Roman"/>
          <w:sz w:val="24"/>
        </w:rPr>
        <w:t xml:space="preserve"> </w:t>
      </w:r>
    </w:p>
    <w:p w:rsidR="00FA7413" w:rsidRDefault="00D712A8">
      <w:pPr>
        <w:spacing w:after="109" w:line="248" w:lineRule="auto"/>
        <w:ind w:left="355" w:right="64" w:hanging="10"/>
        <w:jc w:val="both"/>
      </w:pPr>
      <w:r>
        <w:rPr>
          <w:rFonts w:ascii="Arial" w:eastAsia="Arial" w:hAnsi="Arial" w:cs="Arial"/>
          <w:b/>
        </w:rPr>
        <w:t xml:space="preserve">SEGUNDO.- </w:t>
      </w:r>
      <w:r>
        <w:rPr>
          <w:rFonts w:ascii="Arial" w:eastAsia="Arial" w:hAnsi="Arial" w:cs="Arial"/>
        </w:rPr>
        <w:t xml:space="preserve">Aprobar y ordenar el pago de la cantidad de </w:t>
      </w:r>
      <w:r>
        <w:rPr>
          <w:rFonts w:ascii="Arial" w:eastAsia="Arial" w:hAnsi="Arial" w:cs="Arial"/>
          <w:b/>
        </w:rPr>
        <w:t>6.069,65</w:t>
      </w:r>
      <w:r>
        <w:rPr>
          <w:rFonts w:ascii="Arial" w:eastAsia="Arial" w:hAnsi="Arial" w:cs="Arial"/>
        </w:rPr>
        <w:t xml:space="preserve"> euros en concepto de intereses y costas. </w:t>
      </w:r>
    </w:p>
    <w:p w:rsidR="00FA7413" w:rsidRDefault="00D712A8">
      <w:pPr>
        <w:spacing w:after="109" w:line="248" w:lineRule="auto"/>
        <w:ind w:left="355" w:right="64" w:hanging="10"/>
        <w:jc w:val="both"/>
      </w:pPr>
      <w:r>
        <w:rPr>
          <w:rFonts w:ascii="Arial" w:eastAsia="Arial" w:hAnsi="Arial" w:cs="Arial"/>
          <w:b/>
        </w:rPr>
        <w:t>TERCERO</w:t>
      </w:r>
      <w:r>
        <w:rPr>
          <w:rFonts w:ascii="Arial" w:eastAsia="Arial" w:hAnsi="Arial" w:cs="Arial"/>
        </w:rPr>
        <w:t xml:space="preserve">.- Proceder </w:t>
      </w:r>
      <w:r>
        <w:rPr>
          <w:rFonts w:ascii="Arial" w:eastAsia="Arial" w:hAnsi="Arial" w:cs="Arial"/>
        </w:rPr>
        <w:t xml:space="preserve">al ingreso de las cantidades reclamadas mediante ingreso en la cuenta de depósitos y consignaciones del Juzgado de lo Social nº 6, en el BANCO SANTANDER c/c 3948 0000 64 0141 20; para el supuesto de ingreso por transferencia bancaria, deberá realizarse la </w:t>
      </w:r>
      <w:r>
        <w:rPr>
          <w:rFonts w:ascii="Arial" w:eastAsia="Arial" w:hAnsi="Arial" w:cs="Arial"/>
        </w:rPr>
        <w:t xml:space="preserve">misma el siguiente número de cuenta: IBAN ES55 0049 3569 9200 0500 1274. </w:t>
      </w:r>
    </w:p>
    <w:p w:rsidR="00FA7413" w:rsidRDefault="00D712A8">
      <w:pPr>
        <w:spacing w:after="109" w:line="248" w:lineRule="auto"/>
        <w:ind w:left="355" w:right="64" w:hanging="10"/>
        <w:jc w:val="both"/>
      </w:pPr>
      <w:r>
        <w:rPr>
          <w:rFonts w:ascii="Arial" w:eastAsia="Arial" w:hAnsi="Arial" w:cs="Arial"/>
          <w:b/>
        </w:rPr>
        <w:t>CUARTO.-</w:t>
      </w:r>
      <w:r>
        <w:rPr>
          <w:rFonts w:ascii="Arial" w:eastAsia="Arial" w:hAnsi="Arial" w:cs="Arial"/>
        </w:rPr>
        <w:t xml:space="preserve"> Dar traslado de la resolución adoptada a la Intervención, Tesorería Municipal a los efectos oportunos y al Juzgado de lo Social nº 6, de Santa Cruz de Tenerife para su conoc</w:t>
      </w:r>
      <w:r>
        <w:rPr>
          <w:rFonts w:ascii="Arial" w:eastAsia="Arial" w:hAnsi="Arial" w:cs="Arial"/>
        </w:rPr>
        <w:t xml:space="preserve">imiento. </w:t>
      </w:r>
    </w:p>
    <w:p w:rsidR="00FA7413" w:rsidRDefault="00D712A8">
      <w:pPr>
        <w:spacing w:after="98"/>
        <w:ind w:left="360"/>
      </w:pPr>
      <w:r>
        <w:rPr>
          <w:rFonts w:ascii="Arial" w:eastAsia="Arial" w:hAnsi="Arial" w:cs="Arial"/>
        </w:rPr>
        <w:t xml:space="preserve">  </w:t>
      </w:r>
    </w:p>
    <w:p w:rsidR="00FA7413" w:rsidRDefault="00D712A8">
      <w:pPr>
        <w:spacing w:after="112" w:line="248" w:lineRule="auto"/>
        <w:ind w:left="355" w:right="62" w:hanging="10"/>
        <w:jc w:val="both"/>
      </w:pPr>
      <w:r>
        <w:rPr>
          <w:rFonts w:ascii="Arial" w:eastAsia="Arial" w:hAnsi="Arial" w:cs="Arial"/>
          <w:b/>
        </w:rPr>
        <w:t xml:space="preserve">Lo manda y firma el Concejal delegado de Hacienda, Recursos Humanos, Empresas Municipales y Concesionarias (Decreto nº 2025/2019, de 24 de junio) de todo lo cual da fe pública el Secretario General en virtud de lo dispuesto en el artículo 3.2 </w:t>
      </w:r>
      <w:r>
        <w:rPr>
          <w:rFonts w:ascii="Arial" w:eastAsia="Arial" w:hAnsi="Arial" w:cs="Arial"/>
          <w:b/>
        </w:rPr>
        <w:t>e) y h) del Real Decreto 128/2018, de 16 de marzo, por el que se regula el régimen jurídico de los funcionarios de Administración Local con habilitación de carácter nacional</w:t>
      </w:r>
      <w:r>
        <w:rPr>
          <w:rFonts w:ascii="Arial" w:eastAsia="Arial" w:hAnsi="Arial" w:cs="Arial"/>
        </w:rPr>
        <w:t xml:space="preserve">  </w:t>
      </w:r>
    </w:p>
    <w:p w:rsidR="00FA7413" w:rsidRDefault="00D712A8">
      <w:pPr>
        <w:spacing w:after="98"/>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45" w:right="62" w:firstLine="708"/>
        <w:jc w:val="both"/>
      </w:pPr>
      <w:r>
        <w:rPr>
          <w:rFonts w:ascii="Arial" w:eastAsia="Arial" w:hAnsi="Arial" w:cs="Arial"/>
          <w:b/>
        </w:rPr>
        <w:t>El presente expediente cumpliendo con el auto judicial de 25 de mayo de 2021</w:t>
      </w:r>
      <w:r>
        <w:rPr>
          <w:rFonts w:ascii="Arial" w:eastAsia="Arial" w:hAnsi="Arial" w:cs="Arial"/>
          <w:b/>
        </w:rPr>
        <w:t xml:space="preserve"> fue introducido en el orden del día de la sesión ordinaria del Pleno del Ayuntamiento de Candelaria celebrada el día 24 de junio de 2021 en el que el Secretario dio explicación al Pleno de los dos Decretos elaborados por el Servicio de Recursos Humanos du</w:t>
      </w:r>
      <w:r>
        <w:rPr>
          <w:rFonts w:ascii="Arial" w:eastAsia="Arial" w:hAnsi="Arial" w:cs="Arial"/>
          <w:b/>
        </w:rPr>
        <w:t xml:space="preserve">rante el mes de junio de 2021 en los que, según el Servicio de Recursos Humanos, ya se ha dado cumplimiento a los cantidades pendientes de abono al trabajador por sentencia de 24 de julio de 2020 mediante las transferencias correspondientes realizadas por </w:t>
      </w:r>
      <w:r>
        <w:rPr>
          <w:rFonts w:ascii="Arial" w:eastAsia="Arial" w:hAnsi="Arial" w:cs="Arial"/>
          <w:b/>
        </w:rPr>
        <w:t xml:space="preserve">la Tesorería municipal durante el mes de junio en curso. </w:t>
      </w:r>
    </w:p>
    <w:p w:rsidR="00FA7413" w:rsidRDefault="00D712A8">
      <w:pPr>
        <w:spacing w:after="0"/>
        <w:ind w:left="1068"/>
      </w:pPr>
      <w:r>
        <w:rPr>
          <w:rFonts w:ascii="Arial" w:eastAsia="Arial" w:hAnsi="Arial" w:cs="Arial"/>
          <w:b/>
        </w:rPr>
        <w:t xml:space="preserve"> </w:t>
      </w:r>
    </w:p>
    <w:p w:rsidR="00FA7413" w:rsidRDefault="00D712A8">
      <w:pPr>
        <w:spacing w:after="0" w:line="248" w:lineRule="auto"/>
        <w:ind w:left="345" w:right="62" w:firstLine="708"/>
        <w:jc w:val="both"/>
      </w:pPr>
      <w:r>
        <w:rPr>
          <w:rFonts w:ascii="Arial" w:eastAsia="Arial" w:hAnsi="Arial" w:cs="Arial"/>
          <w:b/>
        </w:rPr>
        <w:t>El Secretario leyó literalmente en el pleno la parte dispositiva del Auto del Juzgado del Juzgado de lo Social nº 6 de Santa Cruz de Tenerife que se transcribe y efectuando por tanto el requerimie</w:t>
      </w:r>
      <w:r>
        <w:rPr>
          <w:rFonts w:ascii="Arial" w:eastAsia="Arial" w:hAnsi="Arial" w:cs="Arial"/>
          <w:b/>
        </w:rPr>
        <w:t xml:space="preserve">nto personal al Alcalde: </w:t>
      </w:r>
    </w:p>
    <w:p w:rsidR="00FA7413" w:rsidRDefault="00D712A8">
      <w:pPr>
        <w:spacing w:after="0"/>
        <w:ind w:left="1068"/>
      </w:pPr>
      <w:r>
        <w:rPr>
          <w:rFonts w:ascii="Arial" w:eastAsia="Arial" w:hAnsi="Arial" w:cs="Arial"/>
          <w:b/>
        </w:rPr>
        <w:t xml:space="preserve"> </w:t>
      </w:r>
    </w:p>
    <w:p w:rsidR="00FA7413" w:rsidRDefault="00D712A8">
      <w:pPr>
        <w:spacing w:after="0" w:line="247" w:lineRule="auto"/>
        <w:ind w:left="345" w:right="62" w:firstLine="708"/>
        <w:jc w:val="both"/>
      </w:pPr>
      <w:r>
        <w:rPr>
          <w:rFonts w:ascii="Arial" w:eastAsia="Arial" w:hAnsi="Arial" w:cs="Arial"/>
          <w:i/>
        </w:rPr>
        <w:t xml:space="preserve">1.- </w:t>
      </w:r>
      <w:r>
        <w:rPr>
          <w:rFonts w:ascii="Arial" w:eastAsia="Arial" w:hAnsi="Arial" w:cs="Arial"/>
          <w:i/>
        </w:rPr>
        <w:t>Se ordene al Ayuntamiento de Candelaria para que disponga lo preciso para que en el plazo máximo de 30 días se proceda al total y eficaz cumplimiento y en sus justos términos de la sentencia de fecha 24 de julio de 2020 dictada en el procedimiento 141/2020</w:t>
      </w:r>
      <w:r>
        <w:rPr>
          <w:rFonts w:ascii="Arial" w:eastAsia="Arial" w:hAnsi="Arial" w:cs="Arial"/>
          <w:i/>
        </w:rPr>
        <w:t>, procediendo, por tanto, al efectivo pago a de Don Santiago Ezequiel Dibelo Case de la cantidad de 9.289, 70 euros brutos en concepto de diferencias salariales entre las cantidades percibidas y las debidas de percibir en concepto de antigüedad y pagas ext</w:t>
      </w:r>
      <w:r>
        <w:rPr>
          <w:rFonts w:ascii="Arial" w:eastAsia="Arial" w:hAnsi="Arial" w:cs="Arial"/>
          <w:i/>
        </w:rPr>
        <w:t xml:space="preserve">ras correspondientes al período comprendido entre junio de 2017 y septiembre de 2019, y en su posterior pago mensual, sin perjuicio de los intereses que se devenguen y de las costas que en su caso procedan. </w:t>
      </w:r>
    </w:p>
    <w:p w:rsidR="00FA7413" w:rsidRDefault="00D712A8">
      <w:pPr>
        <w:spacing w:after="0"/>
        <w:ind w:left="1068"/>
      </w:pPr>
      <w:r>
        <w:rPr>
          <w:rFonts w:ascii="Arial" w:eastAsia="Arial" w:hAnsi="Arial" w:cs="Arial"/>
          <w:i/>
        </w:rPr>
        <w:t xml:space="preserve"> </w:t>
      </w:r>
    </w:p>
    <w:p w:rsidR="00FA7413" w:rsidRDefault="00D712A8">
      <w:pPr>
        <w:spacing w:after="0" w:line="247" w:lineRule="auto"/>
        <w:ind w:left="345" w:right="62" w:firstLine="708"/>
        <w:jc w:val="both"/>
      </w:pPr>
      <w:r>
        <w:rPr>
          <w:noProof/>
        </w:rPr>
        <mc:AlternateContent>
          <mc:Choice Requires="wpg">
            <w:drawing>
              <wp:anchor distT="0" distB="0" distL="114300" distR="114300" simplePos="0" relativeHeight="251836416"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27761" name="Group 227761"/>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23898" name="Rectangle 23898"/>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w:t>
                              </w:r>
                              <w:r>
                                <w:rPr>
                                  <w:rFonts w:ascii="Arial" w:eastAsia="Arial" w:hAnsi="Arial" w:cs="Arial"/>
                                  <w:sz w:val="12"/>
                                </w:rPr>
                                <w:t xml:space="preserve">| Verificación: https://candelaria.sedelectronica.es/ </w:t>
                              </w:r>
                            </w:p>
                          </w:txbxContent>
                        </wps:txbx>
                        <wps:bodyPr horzOverflow="overflow" vert="horz" lIns="0" tIns="0" rIns="0" bIns="0" rtlCol="0">
                          <a:noAutofit/>
                        </wps:bodyPr>
                      </wps:wsp>
                      <wps:wsp>
                        <wps:cNvPr id="23899" name="Rectangle 23899"/>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172 de 180 </w:t>
                              </w:r>
                            </w:p>
                          </w:txbxContent>
                        </wps:txbx>
                        <wps:bodyPr horzOverflow="overflow" vert="horz" lIns="0" tIns="0" rIns="0" bIns="0" rtlCol="0">
                          <a:noAutofit/>
                        </wps:bodyPr>
                      </wps:wsp>
                    </wpg:wgp>
                  </a:graphicData>
                </a:graphic>
              </wp:anchor>
            </w:drawing>
          </mc:Choice>
          <mc:Fallback xmlns:a="http://schemas.openxmlformats.org/drawingml/2006/main">
            <w:pict>
              <v:group id="Group 227761" style="width:12.7031pt;height:275.586pt;position:absolute;mso-position-horizontal-relative:page;mso-position-horizontal:absolute;margin-left:682.278pt;mso-position-vertical-relative:page;margin-top:536.334pt;" coordsize="1613,34999">
                <v:rect id="Rectangle 23898"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23899"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172 de 180 </w:t>
                        </w:r>
                      </w:p>
                    </w:txbxContent>
                  </v:textbox>
                </v:rect>
                <w10:wrap type="square"/>
              </v:group>
            </w:pict>
          </mc:Fallback>
        </mc:AlternateContent>
      </w:r>
      <w:r>
        <w:rPr>
          <w:rFonts w:ascii="Arial" w:eastAsia="Arial" w:hAnsi="Arial" w:cs="Arial"/>
          <w:i/>
        </w:rPr>
        <w:t>2.- Requiérase al Secretario General del Ayuntamiento para que en el próximo pleno corporativo que se ce</w:t>
      </w:r>
      <w:r>
        <w:rPr>
          <w:rFonts w:ascii="Arial" w:eastAsia="Arial" w:hAnsi="Arial" w:cs="Arial"/>
          <w:i/>
        </w:rPr>
        <w:t>lebre se efectúe requerimiento personal al Alcalde-Presidente para el cumplimiento de lo aquí acordado, con apercibimiento de que caso no verificar en el plazo y forma cualquiera de los plazos acordados en este Auto se procederá a la imposición de multa de</w:t>
      </w:r>
      <w:r>
        <w:rPr>
          <w:rFonts w:ascii="Arial" w:eastAsia="Arial" w:hAnsi="Arial" w:cs="Arial"/>
          <w:i/>
        </w:rPr>
        <w:t xml:space="preserve"> 100 euros/mensuales a la persona que, en estos momentos, ocupe la Alcaldía del citado Ayuntamiento y a deducir testimonio por la presunta comisión de un delito de desobediencia a la autoridad. </w:t>
      </w:r>
    </w:p>
    <w:p w:rsidR="00FA7413" w:rsidRDefault="00D712A8">
      <w:pPr>
        <w:spacing w:after="0"/>
        <w:ind w:left="1068"/>
      </w:pPr>
      <w:r>
        <w:rPr>
          <w:rFonts w:ascii="Arial" w:eastAsia="Arial" w:hAnsi="Arial" w:cs="Arial"/>
          <w:i/>
        </w:rPr>
        <w:t xml:space="preserve"> </w:t>
      </w:r>
    </w:p>
    <w:p w:rsidR="00FA7413" w:rsidRDefault="00D712A8">
      <w:pPr>
        <w:spacing w:after="0" w:line="247" w:lineRule="auto"/>
        <w:ind w:left="345" w:right="62" w:firstLine="708"/>
        <w:jc w:val="both"/>
      </w:pPr>
      <w:r>
        <w:rPr>
          <w:rFonts w:ascii="Arial" w:eastAsia="Arial" w:hAnsi="Arial" w:cs="Arial"/>
          <w:i/>
        </w:rPr>
        <w:t>3.- Para la práctica del anterior requerimiento líbrese ofi</w:t>
      </w:r>
      <w:r>
        <w:rPr>
          <w:rFonts w:ascii="Arial" w:eastAsia="Arial" w:hAnsi="Arial" w:cs="Arial"/>
          <w:i/>
        </w:rPr>
        <w:t>cio al que se adjuntará testimonio de la sentencia y del presente Auto que se remitirá al Sr. Secretario del Ayuntamiento, el cual deberá dar respuesta del cumplimiento de esta obligación mediante la remisión del Acta del Ayuntamiento donde se recoja el re</w:t>
      </w:r>
      <w:r>
        <w:rPr>
          <w:rFonts w:ascii="Arial" w:eastAsia="Arial" w:hAnsi="Arial" w:cs="Arial"/>
          <w:i/>
        </w:rPr>
        <w:t>querimiento realizado por el Sr. Secretario al Alcalde y al consistorio municipal en el primer Pleno que se celebre al efecto, con apercibimiento de que no hacerlo, el Sr. Secretario podría incurrir en un delito de desobediencia a la Autoridad parándole el</w:t>
      </w:r>
      <w:r>
        <w:rPr>
          <w:rFonts w:ascii="Arial" w:eastAsia="Arial" w:hAnsi="Arial" w:cs="Arial"/>
          <w:i/>
        </w:rPr>
        <w:t xml:space="preserve"> perjuicio correspondiente en Derecho. </w:t>
      </w:r>
    </w:p>
    <w:p w:rsidR="00FA7413" w:rsidRDefault="00D712A8">
      <w:pPr>
        <w:spacing w:after="0" w:line="247" w:lineRule="auto"/>
        <w:ind w:left="345" w:right="62" w:firstLine="708"/>
        <w:jc w:val="both"/>
      </w:pPr>
      <w:r>
        <w:rPr>
          <w:rFonts w:ascii="Arial" w:eastAsia="Arial" w:hAnsi="Arial" w:cs="Arial"/>
          <w:i/>
        </w:rPr>
        <w:t>4.- Efectuado dicho requerimiento deberá remitir a este Juzgado, en el plazo de CINCO DÍAS, el acta de la sesión con identificación del nombre y apellidos, documento nacional de identidad, domicilio y si percibe retr</w:t>
      </w:r>
      <w:r>
        <w:rPr>
          <w:rFonts w:ascii="Arial" w:eastAsia="Arial" w:hAnsi="Arial" w:cs="Arial"/>
          <w:i/>
        </w:rPr>
        <w:t xml:space="preserve">ibuciones del Ayuntamiento de la persona que actualmente ocupa la Alcaldía, a efectos, en su caso, de la imposición de multa coercitivas y remisión de testimonio de particulares para ser remitido al Juzgado Decano del correspondiente partido judicial para </w:t>
      </w:r>
      <w:r>
        <w:rPr>
          <w:rFonts w:ascii="Arial" w:eastAsia="Arial" w:hAnsi="Arial" w:cs="Arial"/>
          <w:i/>
        </w:rPr>
        <w:t xml:space="preserve">su posterior reparto, por si los hechos fueran constitutivos de un delito de desobediencia a la autoridad.” </w:t>
      </w:r>
    </w:p>
    <w:p w:rsidR="00FA7413" w:rsidRDefault="00D712A8">
      <w:pPr>
        <w:spacing w:after="0"/>
        <w:ind w:left="1068"/>
      </w:pPr>
      <w:r>
        <w:rPr>
          <w:rFonts w:ascii="Arial" w:eastAsia="Arial" w:hAnsi="Arial" w:cs="Arial"/>
          <w:i/>
        </w:rPr>
        <w:t xml:space="preserve"> </w:t>
      </w:r>
    </w:p>
    <w:p w:rsidR="00FA7413" w:rsidRDefault="00D712A8">
      <w:pPr>
        <w:spacing w:after="0"/>
        <w:ind w:left="1068"/>
      </w:pPr>
      <w:r>
        <w:rPr>
          <w:rFonts w:ascii="Arial" w:eastAsia="Arial" w:hAnsi="Arial" w:cs="Arial"/>
          <w:i/>
        </w:rPr>
        <w:t xml:space="preserve"> </w:t>
      </w:r>
    </w:p>
    <w:p w:rsidR="00FA7413" w:rsidRDefault="00D712A8">
      <w:pPr>
        <w:spacing w:after="98"/>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0" w:line="248" w:lineRule="auto"/>
        <w:ind w:left="345" w:right="62" w:firstLine="708"/>
        <w:jc w:val="both"/>
      </w:pPr>
      <w:r>
        <w:rPr>
          <w:rFonts w:ascii="Arial" w:eastAsia="Arial" w:hAnsi="Arial" w:cs="Arial"/>
          <w:b/>
        </w:rPr>
        <w:t xml:space="preserve">A efectos de cumplir el presente requerimiento se remite al Juzgado de lo Social número 6 de Santa Cruz de Tenerife los siguientes datos: </w:t>
      </w:r>
    </w:p>
    <w:p w:rsidR="00FA7413" w:rsidRDefault="00D712A8">
      <w:pPr>
        <w:spacing w:after="0"/>
        <w:ind w:left="1068"/>
      </w:pPr>
      <w:r>
        <w:rPr>
          <w:rFonts w:ascii="Arial" w:eastAsia="Arial" w:hAnsi="Arial" w:cs="Arial"/>
        </w:rPr>
        <w:t xml:space="preserve"> </w:t>
      </w:r>
    </w:p>
    <w:p w:rsidR="00FA7413" w:rsidRDefault="00D712A8">
      <w:pPr>
        <w:spacing w:after="0" w:line="248" w:lineRule="auto"/>
        <w:ind w:left="345" w:right="62" w:firstLine="708"/>
        <w:jc w:val="both"/>
      </w:pPr>
      <w:r>
        <w:rPr>
          <w:rFonts w:ascii="Arial" w:eastAsia="Arial" w:hAnsi="Arial" w:cs="Arial"/>
          <w:b/>
        </w:rPr>
        <w:t xml:space="preserve">1.- Decreto del Concejal delegado de Personal, Don Airam Pérez Chinea, nº 1510/2021, de fecha 31 de mayo de 2021, transcrito literalmente en el presente Decreto. </w:t>
      </w:r>
    </w:p>
    <w:p w:rsidR="00FA7413" w:rsidRDefault="00D712A8">
      <w:pPr>
        <w:spacing w:after="0"/>
        <w:ind w:left="1068"/>
      </w:pPr>
      <w:r>
        <w:rPr>
          <w:rFonts w:ascii="Arial" w:eastAsia="Arial" w:hAnsi="Arial" w:cs="Arial"/>
          <w:b/>
        </w:rPr>
        <w:t xml:space="preserve"> </w:t>
      </w:r>
    </w:p>
    <w:p w:rsidR="00FA7413" w:rsidRDefault="00D712A8">
      <w:pPr>
        <w:spacing w:after="0" w:line="248" w:lineRule="auto"/>
        <w:ind w:left="345" w:right="62" w:firstLine="708"/>
        <w:jc w:val="both"/>
      </w:pPr>
      <w:r>
        <w:rPr>
          <w:rFonts w:ascii="Arial" w:eastAsia="Arial" w:hAnsi="Arial" w:cs="Arial"/>
          <w:b/>
        </w:rPr>
        <w:t>2.- Decreto del Concejal delegado de Personal, Don Airam Pérez Chinea, nº 1761/2021, de f</w:t>
      </w:r>
      <w:r>
        <w:rPr>
          <w:rFonts w:ascii="Arial" w:eastAsia="Arial" w:hAnsi="Arial" w:cs="Arial"/>
          <w:b/>
        </w:rPr>
        <w:t xml:space="preserve">echa 23 de junio de 2021, transcrito literalmente en el presente Decreto. </w:t>
      </w:r>
    </w:p>
    <w:p w:rsidR="00FA7413" w:rsidRDefault="00D712A8">
      <w:pPr>
        <w:spacing w:after="0"/>
        <w:ind w:left="1068"/>
      </w:pPr>
      <w:r>
        <w:rPr>
          <w:rFonts w:ascii="Arial" w:eastAsia="Arial" w:hAnsi="Arial" w:cs="Arial"/>
          <w:b/>
        </w:rPr>
        <w:t xml:space="preserve"> </w:t>
      </w:r>
    </w:p>
    <w:p w:rsidR="00FA7413" w:rsidRDefault="00D712A8">
      <w:pPr>
        <w:spacing w:after="11" w:line="248" w:lineRule="auto"/>
        <w:ind w:left="1078" w:right="62" w:hanging="10"/>
        <w:jc w:val="both"/>
      </w:pPr>
      <w:r>
        <w:rPr>
          <w:rFonts w:ascii="Arial" w:eastAsia="Arial" w:hAnsi="Arial" w:cs="Arial"/>
          <w:b/>
        </w:rPr>
        <w:t xml:space="preserve"> 3.- Persona que ocupa la Alcaldía-Presidencia: </w:t>
      </w:r>
    </w:p>
    <w:p w:rsidR="00FA7413" w:rsidRDefault="00D712A8">
      <w:pPr>
        <w:spacing w:after="0"/>
        <w:ind w:left="1068"/>
      </w:pPr>
      <w:r>
        <w:rPr>
          <w:rFonts w:ascii="Arial" w:eastAsia="Arial" w:hAnsi="Arial" w:cs="Arial"/>
          <w:b/>
        </w:rPr>
        <w:t xml:space="preserve"> </w:t>
      </w:r>
    </w:p>
    <w:p w:rsidR="00FA7413" w:rsidRDefault="00D712A8">
      <w:pPr>
        <w:spacing w:after="11" w:line="248" w:lineRule="auto"/>
        <w:ind w:left="1078" w:right="62" w:hanging="10"/>
        <w:jc w:val="both"/>
      </w:pPr>
      <w:r>
        <w:rPr>
          <w:rFonts w:ascii="Arial" w:eastAsia="Arial" w:hAnsi="Arial" w:cs="Arial"/>
          <w:b/>
        </w:rPr>
        <w:t xml:space="preserve">Alcaldesa-Presidenta: Doña María Concepción Brito Núñez. </w:t>
      </w:r>
    </w:p>
    <w:p w:rsidR="00FA7413" w:rsidRDefault="00D712A8">
      <w:pPr>
        <w:spacing w:after="0"/>
        <w:ind w:left="1068"/>
      </w:pPr>
      <w:r>
        <w:rPr>
          <w:rFonts w:ascii="Arial" w:eastAsia="Arial" w:hAnsi="Arial" w:cs="Arial"/>
          <w:b/>
        </w:rPr>
        <w:t xml:space="preserve"> </w:t>
      </w:r>
    </w:p>
    <w:p w:rsidR="00FA7413" w:rsidRDefault="00D712A8">
      <w:pPr>
        <w:spacing w:after="0" w:line="248" w:lineRule="auto"/>
        <w:ind w:left="345" w:right="62" w:firstLine="708"/>
        <w:jc w:val="both"/>
      </w:pPr>
      <w:r>
        <w:rPr>
          <w:rFonts w:ascii="Arial" w:eastAsia="Arial" w:hAnsi="Arial" w:cs="Arial"/>
          <w:b/>
        </w:rPr>
        <w:t xml:space="preserve">Datos que constan en la Declaración de bienes y actividades al comienzo del mandato 2019-2023: DNI: ***1734**. Domicilio: Camino Los Revolcaderos, nº 36. Igueste. Candelaria.  </w:t>
      </w:r>
    </w:p>
    <w:p w:rsidR="00FA7413" w:rsidRDefault="00D712A8">
      <w:pPr>
        <w:spacing w:after="0"/>
        <w:ind w:left="1068"/>
      </w:pPr>
      <w:r>
        <w:rPr>
          <w:rFonts w:ascii="Arial" w:eastAsia="Arial" w:hAnsi="Arial" w:cs="Arial"/>
          <w:b/>
        </w:rPr>
        <w:t xml:space="preserve"> </w:t>
      </w:r>
    </w:p>
    <w:p w:rsidR="00FA7413" w:rsidRDefault="00D712A8">
      <w:pPr>
        <w:spacing w:after="11" w:line="248" w:lineRule="auto"/>
        <w:ind w:left="1078" w:right="62" w:hanging="10"/>
        <w:jc w:val="both"/>
      </w:pPr>
      <w:r>
        <w:rPr>
          <w:rFonts w:ascii="Arial" w:eastAsia="Arial" w:hAnsi="Arial" w:cs="Arial"/>
          <w:b/>
        </w:rPr>
        <w:t xml:space="preserve">Retribución anual según el pleno de 28 de junio de 2019 que aprobó las retribuciones: </w:t>
      </w:r>
    </w:p>
    <w:p w:rsidR="00FA7413" w:rsidRDefault="00D712A8">
      <w:pPr>
        <w:spacing w:after="11" w:line="248" w:lineRule="auto"/>
        <w:ind w:left="355" w:right="62" w:hanging="10"/>
        <w:jc w:val="both"/>
      </w:pPr>
      <w:r>
        <w:rPr>
          <w:rFonts w:ascii="Arial" w:eastAsia="Arial" w:hAnsi="Arial" w:cs="Arial"/>
          <w:b/>
        </w:rPr>
        <w:t xml:space="preserve">53.000 euros.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noProof/>
        </w:rPr>
        <mc:AlternateContent>
          <mc:Choice Requires="wpg">
            <w:drawing>
              <wp:anchor distT="0" distB="0" distL="114300" distR="114300" simplePos="0" relativeHeight="251837440" behindDoc="0" locked="0" layoutInCell="1" allowOverlap="1">
                <wp:simplePos x="0" y="0"/>
                <wp:positionH relativeFrom="page">
                  <wp:posOffset>8664935</wp:posOffset>
                </wp:positionH>
                <wp:positionV relativeFrom="page">
                  <wp:posOffset>6811442</wp:posOffset>
                </wp:positionV>
                <wp:extent cx="161330" cy="3499942"/>
                <wp:effectExtent l="0" t="0" r="0" b="0"/>
                <wp:wrapTopAndBottom/>
                <wp:docPr id="230799" name="Group 230799"/>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23995" name="Rectangle 23995"/>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23996" name="Rectangle 23996"/>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173 de 180 </w:t>
                              </w:r>
                            </w:p>
                          </w:txbxContent>
                        </wps:txbx>
                        <wps:bodyPr horzOverflow="overflow" vert="horz" lIns="0" tIns="0" rIns="0" bIns="0" rtlCol="0">
                          <a:noAutofit/>
                        </wps:bodyPr>
                      </wps:wsp>
                    </wpg:wgp>
                  </a:graphicData>
                </a:graphic>
              </wp:anchor>
            </w:drawing>
          </mc:Choice>
          <mc:Fallback xmlns:a="http://schemas.openxmlformats.org/drawingml/2006/main">
            <w:pict>
              <v:group id="Group 230799" style="width:12.7031pt;height:275.586pt;position:absolute;mso-position-horizontal-relative:page;mso-position-horizontal:absolute;margin-left:682.278pt;mso-position-vertical-relative:page;margin-top:536.334pt;" coordsize="1613,34999">
                <v:rect id="Rectangle 23995"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23996"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173 de 180 </w:t>
                        </w:r>
                      </w:p>
                    </w:txbxContent>
                  </v:textbox>
                </v:rect>
                <w10:wrap type="topAndBottom"/>
              </v:group>
            </w:pict>
          </mc:Fallback>
        </mc:AlternateContent>
      </w: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11" w:line="248" w:lineRule="auto"/>
        <w:ind w:left="1436" w:right="62" w:hanging="10"/>
        <w:jc w:val="both"/>
      </w:pPr>
      <w:r>
        <w:rPr>
          <w:rFonts w:ascii="Arial" w:eastAsia="Arial" w:hAnsi="Arial" w:cs="Arial"/>
          <w:b/>
        </w:rPr>
        <w:t xml:space="preserve">B) ACTIVIDAD DE CONTROL </w:t>
      </w:r>
    </w:p>
    <w:p w:rsidR="00FA7413" w:rsidRDefault="00D712A8">
      <w:pPr>
        <w:spacing w:after="0"/>
        <w:ind w:left="1068"/>
      </w:pPr>
      <w:r>
        <w:rPr>
          <w:rFonts w:ascii="Arial" w:eastAsia="Arial" w:hAnsi="Arial" w:cs="Arial"/>
          <w:b/>
        </w:rPr>
        <w:t xml:space="preserve"> </w:t>
      </w:r>
    </w:p>
    <w:p w:rsidR="00FA7413" w:rsidRDefault="00D712A8">
      <w:pPr>
        <w:spacing w:after="0" w:line="248" w:lineRule="auto"/>
        <w:ind w:left="345" w:right="62" w:firstLine="708"/>
        <w:jc w:val="both"/>
      </w:pPr>
      <w:r>
        <w:rPr>
          <w:rFonts w:ascii="Arial" w:eastAsia="Arial" w:hAnsi="Arial" w:cs="Arial"/>
          <w:b/>
        </w:rPr>
        <w:t>19.- Dación de cuenta de los Decretos de la Alcaldía-</w:t>
      </w:r>
      <w:r>
        <w:rPr>
          <w:rFonts w:ascii="Arial" w:eastAsia="Arial" w:hAnsi="Arial" w:cs="Arial"/>
          <w:b/>
        </w:rPr>
        <w:t>Presidencia y de los Concejales delegados.</w:t>
      </w:r>
      <w:r>
        <w:rPr>
          <w:rFonts w:ascii="Times New Roman" w:eastAsia="Times New Roman" w:hAnsi="Times New Roman" w:cs="Times New Roman"/>
          <w:sz w:val="24"/>
        </w:rPr>
        <w:t xml:space="preserve"> </w:t>
      </w:r>
    </w:p>
    <w:p w:rsidR="00FA7413" w:rsidRDefault="00D712A8">
      <w:pPr>
        <w:spacing w:after="0"/>
        <w:ind w:left="1068"/>
      </w:pPr>
      <w:r>
        <w:rPr>
          <w:rFonts w:ascii="Arial" w:eastAsia="Arial" w:hAnsi="Arial" w:cs="Arial"/>
          <w:sz w:val="20"/>
        </w:rPr>
        <w:t xml:space="preserve"> </w:t>
      </w:r>
    </w:p>
    <w:p w:rsidR="00FA7413" w:rsidRDefault="00D712A8">
      <w:pPr>
        <w:spacing w:after="0" w:line="248" w:lineRule="auto"/>
        <w:ind w:left="345" w:right="62" w:firstLine="708"/>
        <w:jc w:val="both"/>
      </w:pPr>
      <w:r>
        <w:rPr>
          <w:rFonts w:ascii="Arial" w:eastAsia="Arial" w:hAnsi="Arial" w:cs="Arial"/>
          <w:b/>
        </w:rPr>
        <w:t xml:space="preserve">20.- Informe de la Intervención sobre las resoluciones adoptadas contrarios a los reparos efectuados conforme la ley 27/2013, de 27 de diciembre, de racionalización y sostenibilidad de la Administración local.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11" w:line="248" w:lineRule="auto"/>
        <w:ind w:left="1786" w:right="62" w:hanging="10"/>
        <w:jc w:val="both"/>
      </w:pPr>
      <w:r>
        <w:rPr>
          <w:rFonts w:ascii="Arial" w:eastAsia="Arial" w:hAnsi="Arial" w:cs="Arial"/>
          <w:b/>
        </w:rPr>
        <w:t>C)RUEGOS Y PREGUNTAS.</w:t>
      </w:r>
      <w:r>
        <w:rPr>
          <w:rFonts w:ascii="Times New Roman" w:eastAsia="Times New Roman" w:hAnsi="Times New Roman" w:cs="Times New Roman"/>
          <w:sz w:val="24"/>
        </w:rPr>
        <w:t xml:space="preserve">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355" w:right="62" w:hanging="10"/>
        <w:jc w:val="both"/>
      </w:pPr>
      <w:r>
        <w:rPr>
          <w:rFonts w:ascii="Arial" w:eastAsia="Arial" w:hAnsi="Arial" w:cs="Arial"/>
          <w:b/>
        </w:rPr>
        <w:t xml:space="preserve">21.- Ruegos y preguntas. </w:t>
      </w:r>
    </w:p>
    <w:p w:rsidR="00FA7413" w:rsidRDefault="00D712A8">
      <w:pPr>
        <w:spacing w:after="0"/>
        <w:ind w:left="360"/>
      </w:pPr>
      <w:r>
        <w:rPr>
          <w:rFonts w:ascii="Arial" w:eastAsia="Arial" w:hAnsi="Arial" w:cs="Arial"/>
          <w:b/>
        </w:rPr>
        <w:t xml:space="preserve"> </w:t>
      </w:r>
    </w:p>
    <w:p w:rsidR="00FA7413" w:rsidRDefault="00D712A8">
      <w:pPr>
        <w:spacing w:after="0"/>
        <w:ind w:left="360"/>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360"/>
      </w:pPr>
      <w:r>
        <w:rPr>
          <w:rFonts w:ascii="Arial" w:eastAsia="Arial" w:hAnsi="Arial" w:cs="Arial"/>
        </w:rPr>
        <w:t>…..</w:t>
      </w:r>
      <w:r>
        <w:rPr>
          <w:rFonts w:ascii="Arial" w:eastAsia="Arial" w:hAnsi="Arial" w:cs="Arial"/>
          <w:b/>
          <w:color w:val="141823"/>
        </w:rPr>
        <w:t xml:space="preserve"> - RUEGOS Y PREGUNTAS. –</w:t>
      </w:r>
      <w:r>
        <w:rPr>
          <w:rFonts w:ascii="Times New Roman" w:eastAsia="Times New Roman" w:hAnsi="Times New Roman" w:cs="Times New Roman"/>
          <w:sz w:val="24"/>
        </w:rPr>
        <w:t xml:space="preserve"> </w:t>
      </w:r>
    </w:p>
    <w:p w:rsidR="00FA7413" w:rsidRDefault="00D712A8">
      <w:pPr>
        <w:spacing w:after="0"/>
        <w:ind w:left="360"/>
      </w:pPr>
      <w:r>
        <w:rPr>
          <w:rFonts w:ascii="Arial" w:eastAsia="Arial" w:hAnsi="Arial" w:cs="Arial"/>
          <w:b/>
          <w:color w:val="141823"/>
        </w:rPr>
        <w:t xml:space="preserve"> </w:t>
      </w:r>
    </w:p>
    <w:p w:rsidR="00FA7413" w:rsidRDefault="00D712A8">
      <w:pPr>
        <w:spacing w:after="11" w:line="248" w:lineRule="auto"/>
        <w:ind w:left="355" w:right="62" w:hanging="10"/>
        <w:jc w:val="both"/>
      </w:pPr>
      <w:r>
        <w:rPr>
          <w:rFonts w:ascii="Arial" w:eastAsia="Arial" w:hAnsi="Arial" w:cs="Arial"/>
          <w:b/>
        </w:rPr>
        <w:t xml:space="preserve">INTERVIENE EL PRIMER TENIENTE DE ALCALDE, DON JORGE BAUTE DELGADO. -  </w:t>
      </w:r>
    </w:p>
    <w:p w:rsidR="00FA7413" w:rsidRDefault="00D712A8">
      <w:pPr>
        <w:spacing w:after="25" w:line="248" w:lineRule="auto"/>
        <w:ind w:left="355" w:right="64" w:hanging="10"/>
        <w:jc w:val="both"/>
      </w:pPr>
      <w:r>
        <w:rPr>
          <w:rFonts w:ascii="Arial" w:eastAsia="Arial" w:hAnsi="Arial" w:cs="Arial"/>
        </w:rPr>
        <w:t xml:space="preserve">Buenos días, seguimos con el siguiente punto que sería Ruegos y Preguntas. Ruegos por parte de Vecinos x Candelaria. - </w:t>
      </w:r>
    </w:p>
    <w:p w:rsidR="00FA7413" w:rsidRDefault="00D712A8">
      <w:pPr>
        <w:spacing w:after="14"/>
        <w:ind w:left="360"/>
      </w:pPr>
      <w:r>
        <w:rPr>
          <w:rFonts w:ascii="Arial" w:eastAsia="Arial" w:hAnsi="Arial" w:cs="Arial"/>
        </w:rPr>
        <w:t xml:space="preserve"> </w:t>
      </w:r>
    </w:p>
    <w:p w:rsidR="00FA7413" w:rsidRDefault="00D712A8">
      <w:pPr>
        <w:spacing w:after="32" w:line="248" w:lineRule="auto"/>
        <w:ind w:left="355" w:right="62" w:hanging="10"/>
        <w:jc w:val="both"/>
      </w:pPr>
      <w:r>
        <w:rPr>
          <w:noProof/>
        </w:rPr>
        <mc:AlternateContent>
          <mc:Choice Requires="wpg">
            <w:drawing>
              <wp:anchor distT="0" distB="0" distL="114300" distR="114300" simplePos="0" relativeHeight="251838464"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32670" name="Group 232670"/>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24128" name="Rectangle 24128"/>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24129" name="Rectangle 24129"/>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Documento firmado electrónicame</w:t>
                              </w:r>
                              <w:r>
                                <w:rPr>
                                  <w:rFonts w:ascii="Arial" w:eastAsia="Arial" w:hAnsi="Arial" w:cs="Arial"/>
                                  <w:sz w:val="12"/>
                                </w:rPr>
                                <w:t xml:space="preserve">nte desde la plataforma esPublico Gestiona | Página 174 de 180 </w:t>
                              </w:r>
                            </w:p>
                          </w:txbxContent>
                        </wps:txbx>
                        <wps:bodyPr horzOverflow="overflow" vert="horz" lIns="0" tIns="0" rIns="0" bIns="0" rtlCol="0">
                          <a:noAutofit/>
                        </wps:bodyPr>
                      </wps:wsp>
                    </wpg:wgp>
                  </a:graphicData>
                </a:graphic>
              </wp:anchor>
            </w:drawing>
          </mc:Choice>
          <mc:Fallback xmlns:a="http://schemas.openxmlformats.org/drawingml/2006/main">
            <w:pict>
              <v:group id="Group 232670" style="width:12.7031pt;height:275.586pt;position:absolute;mso-position-horizontal-relative:page;mso-position-horizontal:absolute;margin-left:682.278pt;mso-position-vertical-relative:page;margin-top:536.334pt;" coordsize="1613,34999">
                <v:rect id="Rectangle 24128"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24129"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174 de 180 </w:t>
                        </w:r>
                      </w:p>
                    </w:txbxContent>
                  </v:textbox>
                </v:rect>
                <w10:wrap type="square"/>
              </v:group>
            </w:pict>
          </mc:Fallback>
        </mc:AlternateContent>
      </w:r>
      <w:r>
        <w:rPr>
          <w:rFonts w:ascii="Arial" w:eastAsia="Arial" w:hAnsi="Arial" w:cs="Arial"/>
          <w:b/>
        </w:rPr>
        <w:t xml:space="preserve">INTERVIENE DOÑA ALICIA MERCEDES MARRERO MENESES. - </w:t>
      </w:r>
    </w:p>
    <w:p w:rsidR="00FA7413" w:rsidRDefault="00D712A8">
      <w:pPr>
        <w:spacing w:after="25" w:line="248" w:lineRule="auto"/>
        <w:ind w:left="355" w:right="64" w:hanging="10"/>
        <w:jc w:val="both"/>
      </w:pPr>
      <w:r>
        <w:rPr>
          <w:rFonts w:ascii="Arial" w:eastAsia="Arial" w:hAnsi="Arial" w:cs="Arial"/>
        </w:rPr>
        <w:t xml:space="preserve">Bueno, pues hace ya varios años se realizaron obras promovidas y ejecutadas por este ayuntamiento al inicio de la calle Charco del Musgo en </w:t>
      </w:r>
      <w:r>
        <w:rPr>
          <w:rFonts w:ascii="Arial" w:eastAsia="Arial" w:hAnsi="Arial" w:cs="Arial"/>
        </w:rPr>
        <w:t xml:space="preserve">Las Caletillas, para mejorar la accesibilidad y ensanchar la acera existente. </w:t>
      </w:r>
    </w:p>
    <w:p w:rsidR="00FA7413" w:rsidRDefault="00D712A8">
      <w:pPr>
        <w:spacing w:after="25" w:line="248" w:lineRule="auto"/>
        <w:ind w:left="355" w:right="64" w:hanging="10"/>
        <w:jc w:val="both"/>
      </w:pPr>
      <w:r>
        <w:rPr>
          <w:rFonts w:ascii="Arial" w:eastAsia="Arial" w:hAnsi="Arial" w:cs="Arial"/>
        </w:rPr>
        <w:t>Al realizar esta obra, la barandilla existente en la zona ha quedado muy baja al elevar el nivel del suelo del peatonal, ante la existencia de muchos vecinos de la zona reiteram</w:t>
      </w:r>
      <w:r>
        <w:rPr>
          <w:rFonts w:ascii="Arial" w:eastAsia="Arial" w:hAnsi="Arial" w:cs="Arial"/>
        </w:rPr>
        <w:t xml:space="preserve">os la solicitud que esta plataforma vecinal presentó en marzo de 2019 destinada a evitar el peligro que supone mantener la anterior barandilla, lo que se traduce en un grave riesgo para los vecinos y en especial personas mayores y jóvenes. </w:t>
      </w:r>
    </w:p>
    <w:p w:rsidR="00FA7413" w:rsidRDefault="00D712A8">
      <w:pPr>
        <w:spacing w:after="27" w:line="248" w:lineRule="auto"/>
        <w:ind w:left="355" w:right="64" w:hanging="10"/>
        <w:jc w:val="both"/>
      </w:pPr>
      <w:r>
        <w:rPr>
          <w:rFonts w:ascii="Arial" w:eastAsia="Arial" w:hAnsi="Arial" w:cs="Arial"/>
        </w:rPr>
        <w:t>Rogamos se proc</w:t>
      </w:r>
      <w:r>
        <w:rPr>
          <w:rFonts w:ascii="Arial" w:eastAsia="Arial" w:hAnsi="Arial" w:cs="Arial"/>
        </w:rPr>
        <w:t xml:space="preserve">eda a la sustitución de la barandilla con la altura suficiente o al vallado provisional y señalización de la zona advirtiendo del peligro existente. </w:t>
      </w:r>
    </w:p>
    <w:p w:rsidR="00FA7413" w:rsidRDefault="00D712A8">
      <w:pPr>
        <w:spacing w:after="27" w:line="248" w:lineRule="auto"/>
        <w:ind w:left="355" w:right="64" w:hanging="10"/>
        <w:jc w:val="both"/>
      </w:pPr>
      <w:r>
        <w:rPr>
          <w:rFonts w:ascii="Arial" w:eastAsia="Arial" w:hAnsi="Arial" w:cs="Arial"/>
        </w:rPr>
        <w:t xml:space="preserve">Gracias. - </w:t>
      </w:r>
    </w:p>
    <w:p w:rsidR="00FA7413" w:rsidRDefault="00D712A8">
      <w:pPr>
        <w:spacing w:after="14"/>
        <w:ind w:left="360"/>
      </w:pPr>
      <w:r>
        <w:rPr>
          <w:rFonts w:ascii="Arial" w:eastAsia="Arial" w:hAnsi="Arial" w:cs="Arial"/>
        </w:rPr>
        <w:t xml:space="preserve"> </w:t>
      </w:r>
    </w:p>
    <w:p w:rsidR="00FA7413" w:rsidRDefault="00D712A8">
      <w:pPr>
        <w:spacing w:after="32" w:line="248" w:lineRule="auto"/>
        <w:ind w:left="355" w:right="62" w:hanging="10"/>
        <w:jc w:val="both"/>
      </w:pPr>
      <w:r>
        <w:rPr>
          <w:rFonts w:ascii="Arial" w:eastAsia="Arial" w:hAnsi="Arial" w:cs="Arial"/>
          <w:b/>
        </w:rPr>
        <w:t xml:space="preserve">INTERVIENE EL PRIMER TENIENTE DE ALCALDE, DON JORGE BAUTE DELGADO. - </w:t>
      </w:r>
    </w:p>
    <w:p w:rsidR="00FA7413" w:rsidRDefault="00D712A8">
      <w:pPr>
        <w:spacing w:after="27" w:line="248" w:lineRule="auto"/>
        <w:ind w:left="355" w:right="64" w:hanging="10"/>
        <w:jc w:val="both"/>
      </w:pPr>
      <w:r>
        <w:rPr>
          <w:rFonts w:ascii="Arial" w:eastAsia="Arial" w:hAnsi="Arial" w:cs="Arial"/>
        </w:rPr>
        <w:t>Gracias, Coalición Can</w:t>
      </w:r>
      <w:r>
        <w:rPr>
          <w:rFonts w:ascii="Arial" w:eastAsia="Arial" w:hAnsi="Arial" w:cs="Arial"/>
        </w:rPr>
        <w:t xml:space="preserve">aria. - </w:t>
      </w:r>
    </w:p>
    <w:p w:rsidR="00FA7413" w:rsidRDefault="00D712A8">
      <w:pPr>
        <w:spacing w:after="14"/>
        <w:ind w:left="360"/>
      </w:pPr>
      <w:r>
        <w:rPr>
          <w:rFonts w:ascii="Arial" w:eastAsia="Arial" w:hAnsi="Arial" w:cs="Arial"/>
        </w:rPr>
        <w:t xml:space="preserve"> </w:t>
      </w:r>
    </w:p>
    <w:p w:rsidR="00FA7413" w:rsidRDefault="00D712A8">
      <w:pPr>
        <w:spacing w:after="29" w:line="248" w:lineRule="auto"/>
        <w:ind w:left="355" w:right="62" w:hanging="10"/>
        <w:jc w:val="both"/>
      </w:pPr>
      <w:r>
        <w:rPr>
          <w:rFonts w:ascii="Arial" w:eastAsia="Arial" w:hAnsi="Arial" w:cs="Arial"/>
          <w:b/>
        </w:rPr>
        <w:t xml:space="preserve">INTERVIENE DOÑA ÁNGELA CRUZ PERERA - </w:t>
      </w:r>
    </w:p>
    <w:p w:rsidR="00FA7413" w:rsidRDefault="00D712A8">
      <w:pPr>
        <w:spacing w:after="26" w:line="248" w:lineRule="auto"/>
        <w:ind w:left="355" w:right="64" w:hanging="10"/>
        <w:jc w:val="both"/>
      </w:pPr>
      <w:r>
        <w:rPr>
          <w:rFonts w:ascii="Arial" w:eastAsia="Arial" w:hAnsi="Arial" w:cs="Arial"/>
        </w:rPr>
        <w:t>Si, ante la situación en la que se encuentran las farolas en la Avenida Marítima, especialmente en la zona más expuesta a la costa, que va desde Punta Larga hasta Las Caletillas, con evidentes señales de óxido y falta de volverlas a pintar, de repintarlas,</w:t>
      </w:r>
      <w:r>
        <w:rPr>
          <w:rFonts w:ascii="Arial" w:eastAsia="Arial" w:hAnsi="Arial" w:cs="Arial"/>
        </w:rPr>
        <w:t xml:space="preserve"> solicitamos al Ayuntamiento se haga lo antes posible esta actuación. - </w:t>
      </w:r>
    </w:p>
    <w:p w:rsidR="00FA7413" w:rsidRDefault="00D712A8">
      <w:pPr>
        <w:spacing w:after="0"/>
        <w:ind w:left="360"/>
      </w:pPr>
      <w:r>
        <w:rPr>
          <w:rFonts w:ascii="Arial" w:eastAsia="Arial" w:hAnsi="Arial" w:cs="Arial"/>
        </w:rPr>
        <w:t xml:space="preserve"> </w:t>
      </w:r>
    </w:p>
    <w:p w:rsidR="00FA7413" w:rsidRDefault="00D712A8">
      <w:pPr>
        <w:spacing w:after="29" w:line="248" w:lineRule="auto"/>
        <w:ind w:left="355" w:right="62" w:hanging="10"/>
        <w:jc w:val="both"/>
      </w:pPr>
      <w:r>
        <w:rPr>
          <w:rFonts w:ascii="Arial" w:eastAsia="Arial" w:hAnsi="Arial" w:cs="Arial"/>
          <w:b/>
        </w:rPr>
        <w:t xml:space="preserve">INTERVIENE EL PIMER TENIENTE DE ALCALDE, DON JORGE BAUTE DELGADO.  </w:t>
      </w:r>
    </w:p>
    <w:p w:rsidR="00FA7413" w:rsidRDefault="00D712A8">
      <w:pPr>
        <w:spacing w:after="29" w:line="248" w:lineRule="auto"/>
        <w:ind w:left="355" w:right="64" w:hanging="10"/>
        <w:jc w:val="both"/>
      </w:pPr>
      <w:r>
        <w:rPr>
          <w:rFonts w:ascii="Arial" w:eastAsia="Arial" w:hAnsi="Arial" w:cs="Arial"/>
        </w:rPr>
        <w:t xml:space="preserve">Te refieres a la barandilla.  </w:t>
      </w:r>
    </w:p>
    <w:p w:rsidR="00FA7413" w:rsidRDefault="00D712A8">
      <w:pPr>
        <w:spacing w:after="14"/>
        <w:ind w:left="360"/>
      </w:pPr>
      <w:r>
        <w:rPr>
          <w:rFonts w:ascii="Arial" w:eastAsia="Arial" w:hAnsi="Arial" w:cs="Arial"/>
        </w:rPr>
        <w:t xml:space="preserve"> </w:t>
      </w:r>
    </w:p>
    <w:p w:rsidR="00FA7413" w:rsidRDefault="00D712A8">
      <w:pPr>
        <w:spacing w:after="29" w:line="248" w:lineRule="auto"/>
        <w:ind w:left="355" w:right="62" w:hanging="10"/>
        <w:jc w:val="both"/>
      </w:pPr>
      <w:r>
        <w:rPr>
          <w:rFonts w:ascii="Arial" w:eastAsia="Arial" w:hAnsi="Arial" w:cs="Arial"/>
          <w:b/>
        </w:rPr>
        <w:t xml:space="preserve">INTERVIENE DOÑA ÁNGELA CRUZ PERERA. - </w:t>
      </w:r>
    </w:p>
    <w:p w:rsidR="00FA7413" w:rsidRDefault="00D712A8">
      <w:pPr>
        <w:spacing w:after="27" w:line="248" w:lineRule="auto"/>
        <w:ind w:left="355" w:right="64" w:hanging="10"/>
        <w:jc w:val="both"/>
      </w:pPr>
      <w:r>
        <w:rPr>
          <w:rFonts w:ascii="Arial" w:eastAsia="Arial" w:hAnsi="Arial" w:cs="Arial"/>
        </w:rPr>
        <w:t xml:space="preserve">No, las farolas. - </w:t>
      </w:r>
    </w:p>
    <w:p w:rsidR="00FA7413" w:rsidRDefault="00D712A8">
      <w:pPr>
        <w:spacing w:after="16"/>
        <w:ind w:left="360"/>
      </w:pPr>
      <w:r>
        <w:rPr>
          <w:rFonts w:ascii="Arial" w:eastAsia="Arial" w:hAnsi="Arial" w:cs="Arial"/>
        </w:rPr>
        <w:t xml:space="preserve">  </w:t>
      </w:r>
    </w:p>
    <w:p w:rsidR="00FA7413" w:rsidRDefault="00D712A8">
      <w:pPr>
        <w:spacing w:after="30" w:line="248" w:lineRule="auto"/>
        <w:ind w:left="355" w:right="62" w:hanging="10"/>
        <w:jc w:val="both"/>
      </w:pPr>
      <w:r>
        <w:rPr>
          <w:rFonts w:ascii="Arial" w:eastAsia="Arial" w:hAnsi="Arial" w:cs="Arial"/>
          <w:b/>
        </w:rPr>
        <w:t xml:space="preserve">INTERVIENE EL PRIMER TENIENTE DE ALCALDE, DON JORGE BAUTE DELGADO. - </w:t>
      </w:r>
    </w:p>
    <w:p w:rsidR="00FA7413" w:rsidRDefault="00D712A8">
      <w:pPr>
        <w:spacing w:after="27" w:line="248" w:lineRule="auto"/>
        <w:ind w:left="355" w:right="64" w:hanging="10"/>
        <w:jc w:val="both"/>
      </w:pPr>
      <w:r>
        <w:rPr>
          <w:rFonts w:ascii="Arial" w:eastAsia="Arial" w:hAnsi="Arial" w:cs="Arial"/>
        </w:rPr>
        <w:t xml:space="preserve">En las farolas. </w:t>
      </w:r>
    </w:p>
    <w:p w:rsidR="00FA7413" w:rsidRDefault="00D712A8">
      <w:pPr>
        <w:spacing w:after="27" w:line="248" w:lineRule="auto"/>
        <w:ind w:left="355" w:right="64" w:hanging="10"/>
        <w:jc w:val="both"/>
      </w:pPr>
      <w:r>
        <w:rPr>
          <w:rFonts w:ascii="Arial" w:eastAsia="Arial" w:hAnsi="Arial" w:cs="Arial"/>
        </w:rPr>
        <w:t xml:space="preserve">Don Antonio. - </w:t>
      </w:r>
    </w:p>
    <w:p w:rsidR="00FA7413" w:rsidRDefault="00D712A8">
      <w:pPr>
        <w:spacing w:after="14"/>
        <w:ind w:left="360"/>
      </w:pPr>
      <w:r>
        <w:rPr>
          <w:rFonts w:ascii="Arial" w:eastAsia="Arial" w:hAnsi="Arial" w:cs="Arial"/>
        </w:rPr>
        <w:t xml:space="preserve"> </w:t>
      </w:r>
    </w:p>
    <w:p w:rsidR="00FA7413" w:rsidRDefault="00D712A8">
      <w:pPr>
        <w:spacing w:after="29" w:line="248" w:lineRule="auto"/>
        <w:ind w:left="355" w:right="3554" w:hanging="10"/>
        <w:jc w:val="both"/>
      </w:pPr>
      <w:r>
        <w:rPr>
          <w:rFonts w:ascii="Arial" w:eastAsia="Arial" w:hAnsi="Arial" w:cs="Arial"/>
          <w:b/>
        </w:rPr>
        <w:t xml:space="preserve">INTERVIENE DON ANTONIO DELGADO GARCÍA. - </w:t>
      </w:r>
      <w:r>
        <w:rPr>
          <w:rFonts w:ascii="Arial" w:eastAsia="Arial" w:hAnsi="Arial" w:cs="Arial"/>
        </w:rPr>
        <w:t xml:space="preserve">Buenas. </w:t>
      </w:r>
    </w:p>
    <w:p w:rsidR="00FA7413" w:rsidRDefault="00D712A8">
      <w:pPr>
        <w:spacing w:after="26" w:line="248" w:lineRule="auto"/>
        <w:ind w:left="355" w:right="64" w:hanging="10"/>
        <w:jc w:val="both"/>
      </w:pPr>
      <w:r>
        <w:rPr>
          <w:rFonts w:ascii="Arial" w:eastAsia="Arial" w:hAnsi="Arial" w:cs="Arial"/>
        </w:rPr>
        <w:t xml:space="preserve">Hemos recibido las quejas de algunos vecinos de la zona de medianías por la inminente desaparición el próximo 10 de julio de la línea de guaguas 127 que hace el trayecto Taco – Güímar, por eso solicitamos que el Ayuntamiento de Candelaria inste al Cabildo </w:t>
      </w:r>
      <w:r>
        <w:rPr>
          <w:rFonts w:ascii="Arial" w:eastAsia="Arial" w:hAnsi="Arial" w:cs="Arial"/>
        </w:rPr>
        <w:t xml:space="preserve">y a la empresa Titsa que paralicen la desaparición de esta línea. - </w:t>
      </w:r>
    </w:p>
    <w:p w:rsidR="00FA7413" w:rsidRDefault="00D712A8">
      <w:pPr>
        <w:spacing w:after="14"/>
        <w:ind w:left="360"/>
      </w:pPr>
      <w:r>
        <w:rPr>
          <w:rFonts w:ascii="Arial" w:eastAsia="Arial" w:hAnsi="Arial" w:cs="Arial"/>
        </w:rPr>
        <w:t xml:space="preserve"> </w:t>
      </w:r>
    </w:p>
    <w:p w:rsidR="00FA7413" w:rsidRDefault="00D712A8">
      <w:pPr>
        <w:spacing w:after="30" w:line="248" w:lineRule="auto"/>
        <w:ind w:left="355" w:right="62" w:hanging="10"/>
        <w:jc w:val="both"/>
      </w:pPr>
      <w:r>
        <w:rPr>
          <w:rFonts w:ascii="Arial" w:eastAsia="Arial" w:hAnsi="Arial" w:cs="Arial"/>
          <w:b/>
        </w:rPr>
        <w:t xml:space="preserve">INTERVIENE EL PRIMER TENIENTE DE ALCALDE, DON JORGE BAUTE DELGADO. – </w:t>
      </w:r>
    </w:p>
    <w:p w:rsidR="00FA7413" w:rsidRDefault="00D712A8">
      <w:pPr>
        <w:spacing w:after="40" w:line="248" w:lineRule="auto"/>
        <w:ind w:left="355" w:right="64" w:hanging="10"/>
        <w:jc w:val="both"/>
      </w:pPr>
      <w:r>
        <w:rPr>
          <w:rFonts w:ascii="Arial" w:eastAsia="Arial" w:hAnsi="Arial" w:cs="Arial"/>
        </w:rPr>
        <w:t xml:space="preserve">Gracias. </w:t>
      </w:r>
    </w:p>
    <w:p w:rsidR="00FA7413" w:rsidRDefault="00D712A8">
      <w:pPr>
        <w:spacing w:after="11" w:line="248" w:lineRule="auto"/>
        <w:ind w:left="355" w:right="64" w:hanging="10"/>
        <w:jc w:val="both"/>
      </w:pPr>
      <w:r>
        <w:rPr>
          <w:rFonts w:ascii="Arial" w:eastAsia="Arial" w:hAnsi="Arial" w:cs="Arial"/>
        </w:rPr>
        <w:t>El Partido Popular. -</w:t>
      </w:r>
      <w:r>
        <w:rPr>
          <w:rFonts w:ascii="Times New Roman" w:eastAsia="Times New Roman" w:hAnsi="Times New Roman" w:cs="Times New Roman"/>
          <w:sz w:val="24"/>
        </w:rPr>
        <w:t xml:space="preserve"> </w:t>
      </w:r>
    </w:p>
    <w:p w:rsidR="00FA7413" w:rsidRDefault="00D712A8">
      <w:pPr>
        <w:spacing w:after="14"/>
        <w:ind w:left="360"/>
      </w:pPr>
      <w:r>
        <w:rPr>
          <w:rFonts w:ascii="Arial" w:eastAsia="Arial" w:hAnsi="Arial" w:cs="Arial"/>
        </w:rPr>
        <w:t xml:space="preserve"> </w:t>
      </w:r>
    </w:p>
    <w:p w:rsidR="00FA7413" w:rsidRDefault="00D712A8">
      <w:pPr>
        <w:spacing w:after="11" w:line="248" w:lineRule="auto"/>
        <w:ind w:left="355" w:right="62" w:hanging="10"/>
        <w:jc w:val="both"/>
      </w:pPr>
      <w:r>
        <w:rPr>
          <w:noProof/>
        </w:rPr>
        <mc:AlternateContent>
          <mc:Choice Requires="wpg">
            <w:drawing>
              <wp:anchor distT="0" distB="0" distL="114300" distR="114300" simplePos="0" relativeHeight="251839488"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33753" name="Group 233753"/>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24254" name="Rectangle 24254"/>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Cód. Validación: 946JAL4TJAGYNDDM76ZM7ZAYZ | Verificación: https://candelaria</w:t>
                              </w:r>
                              <w:r>
                                <w:rPr>
                                  <w:rFonts w:ascii="Arial" w:eastAsia="Arial" w:hAnsi="Arial" w:cs="Arial"/>
                                  <w:sz w:val="12"/>
                                </w:rPr>
                                <w:t xml:space="preserve">.sedelectronica.es/ </w:t>
                              </w:r>
                            </w:p>
                          </w:txbxContent>
                        </wps:txbx>
                        <wps:bodyPr horzOverflow="overflow" vert="horz" lIns="0" tIns="0" rIns="0" bIns="0" rtlCol="0">
                          <a:noAutofit/>
                        </wps:bodyPr>
                      </wps:wsp>
                      <wps:wsp>
                        <wps:cNvPr id="24255" name="Rectangle 24255"/>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175 de 180 </w:t>
                              </w:r>
                            </w:p>
                          </w:txbxContent>
                        </wps:txbx>
                        <wps:bodyPr horzOverflow="overflow" vert="horz" lIns="0" tIns="0" rIns="0" bIns="0" rtlCol="0">
                          <a:noAutofit/>
                        </wps:bodyPr>
                      </wps:wsp>
                    </wpg:wgp>
                  </a:graphicData>
                </a:graphic>
              </wp:anchor>
            </w:drawing>
          </mc:Choice>
          <mc:Fallback xmlns:a="http://schemas.openxmlformats.org/drawingml/2006/main">
            <w:pict>
              <v:group id="Group 233753" style="width:12.7031pt;height:275.586pt;position:absolute;mso-position-horizontal-relative:page;mso-position-horizontal:absolute;margin-left:682.278pt;mso-position-vertical-relative:page;margin-top:536.334pt;" coordsize="1613,34999">
                <v:rect id="Rectangle 24254"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24255"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175 de 180 </w:t>
                        </w:r>
                      </w:p>
                    </w:txbxContent>
                  </v:textbox>
                </v:rect>
                <w10:wrap type="square"/>
              </v:group>
            </w:pict>
          </mc:Fallback>
        </mc:AlternateContent>
      </w:r>
      <w:r>
        <w:rPr>
          <w:rFonts w:ascii="Arial" w:eastAsia="Arial" w:hAnsi="Arial" w:cs="Arial"/>
          <w:b/>
        </w:rPr>
        <w:t xml:space="preserve">INTERVIENE DON JACOBO LÓPEZ FARIÑA. - </w:t>
      </w:r>
    </w:p>
    <w:p w:rsidR="00FA7413" w:rsidRDefault="00D712A8">
      <w:pPr>
        <w:spacing w:after="0" w:line="248" w:lineRule="auto"/>
        <w:ind w:left="355" w:right="64" w:hanging="10"/>
        <w:jc w:val="both"/>
      </w:pPr>
      <w:r>
        <w:rPr>
          <w:rFonts w:ascii="Arial" w:eastAsia="Arial" w:hAnsi="Arial" w:cs="Arial"/>
        </w:rPr>
        <w:t>Si, vecinos de la calle Mencey Bentor se han vuelto a poner en contacto con nosotros porque reclaman la ubicación de espejos frente a la salida de su garaje dado que, con los estacionamientos en la zona, a la hora de incorporarse a la vía tienen dificultad</w:t>
      </w:r>
      <w:r>
        <w:rPr>
          <w:rFonts w:ascii="Arial" w:eastAsia="Arial" w:hAnsi="Arial" w:cs="Arial"/>
        </w:rPr>
        <w:t xml:space="preserve">es de visión. - </w:t>
      </w:r>
    </w:p>
    <w:p w:rsidR="00FA7413" w:rsidRDefault="00D712A8">
      <w:pPr>
        <w:spacing w:after="0"/>
        <w:ind w:left="360"/>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46" w:line="248" w:lineRule="auto"/>
        <w:ind w:left="355" w:right="62" w:hanging="10"/>
        <w:jc w:val="both"/>
      </w:pPr>
      <w:r>
        <w:rPr>
          <w:rFonts w:ascii="Arial" w:eastAsia="Arial" w:hAnsi="Arial" w:cs="Arial"/>
          <w:b/>
        </w:rPr>
        <w:t xml:space="preserve">INTERVIENE EL PRIMER TENIENTE DE ALCALDE, DON JORGE BAUTE DELGADO. – </w:t>
      </w:r>
    </w:p>
    <w:p w:rsidR="00FA7413" w:rsidRDefault="00D712A8">
      <w:pPr>
        <w:spacing w:after="11" w:line="248" w:lineRule="auto"/>
        <w:ind w:left="355" w:right="64" w:hanging="10"/>
        <w:jc w:val="both"/>
      </w:pPr>
      <w:r>
        <w:rPr>
          <w:rFonts w:ascii="Arial" w:eastAsia="Arial" w:hAnsi="Arial" w:cs="Arial"/>
        </w:rPr>
        <w:t>En qué vía, perdona. -</w:t>
      </w:r>
      <w:r>
        <w:rPr>
          <w:rFonts w:ascii="Times New Roman" w:eastAsia="Times New Roman" w:hAnsi="Times New Roman" w:cs="Times New Roman"/>
          <w:sz w:val="24"/>
        </w:rPr>
        <w:t xml:space="preserve">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2" w:hanging="10"/>
        <w:jc w:val="both"/>
      </w:pPr>
      <w:r>
        <w:rPr>
          <w:rFonts w:ascii="Arial" w:eastAsia="Arial" w:hAnsi="Arial" w:cs="Arial"/>
          <w:b/>
        </w:rPr>
        <w:t xml:space="preserve">INTEVIENE DON JACOBO LÓPEZ FARIÑA. - </w:t>
      </w:r>
    </w:p>
    <w:p w:rsidR="00FA7413" w:rsidRDefault="00D712A8">
      <w:pPr>
        <w:spacing w:after="11" w:line="248" w:lineRule="auto"/>
        <w:ind w:left="355" w:right="64" w:hanging="10"/>
        <w:jc w:val="both"/>
      </w:pPr>
      <w:r>
        <w:rPr>
          <w:rFonts w:ascii="Arial" w:eastAsia="Arial" w:hAnsi="Arial" w:cs="Arial"/>
        </w:rPr>
        <w:t xml:space="preserve">En la vía que está detrás del Supercor. -  </w:t>
      </w:r>
    </w:p>
    <w:p w:rsidR="00FA7413" w:rsidRDefault="00D712A8">
      <w:pPr>
        <w:spacing w:after="0"/>
        <w:ind w:left="360"/>
      </w:pPr>
      <w:r>
        <w:rPr>
          <w:rFonts w:ascii="Arial" w:eastAsia="Arial" w:hAnsi="Arial" w:cs="Arial"/>
        </w:rPr>
        <w:t xml:space="preserve"> </w:t>
      </w:r>
    </w:p>
    <w:p w:rsidR="00FA7413" w:rsidRDefault="00D712A8">
      <w:pPr>
        <w:spacing w:after="30" w:line="248" w:lineRule="auto"/>
        <w:ind w:left="355" w:right="62" w:hanging="10"/>
        <w:jc w:val="both"/>
      </w:pPr>
      <w:r>
        <w:rPr>
          <w:rFonts w:ascii="Arial" w:eastAsia="Arial" w:hAnsi="Arial" w:cs="Arial"/>
          <w:b/>
        </w:rPr>
        <w:t>INTERVIENE EL PRIMER TENIENTE DE ALCALDE, DON JORGE BAU</w:t>
      </w:r>
      <w:r>
        <w:rPr>
          <w:rFonts w:ascii="Arial" w:eastAsia="Arial" w:hAnsi="Arial" w:cs="Arial"/>
          <w:b/>
        </w:rPr>
        <w:t xml:space="preserve">TE DELGADO. – </w:t>
      </w:r>
    </w:p>
    <w:p w:rsidR="00FA7413" w:rsidRDefault="00D712A8">
      <w:pPr>
        <w:spacing w:after="11" w:line="248" w:lineRule="auto"/>
        <w:ind w:left="355" w:right="64" w:hanging="10"/>
        <w:jc w:val="both"/>
      </w:pPr>
      <w:r>
        <w:rPr>
          <w:rFonts w:ascii="Arial" w:eastAsia="Arial" w:hAnsi="Arial" w:cs="Arial"/>
        </w:rPr>
        <w:t xml:space="preserve">¿La vía?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2" w:hanging="10"/>
        <w:jc w:val="both"/>
      </w:pPr>
      <w:r>
        <w:rPr>
          <w:rFonts w:ascii="Arial" w:eastAsia="Arial" w:hAnsi="Arial" w:cs="Arial"/>
          <w:b/>
        </w:rPr>
        <w:t xml:space="preserve">INTERVIENE DON JACOBO LÓPEZ FARIÑA. – </w:t>
      </w:r>
    </w:p>
    <w:p w:rsidR="00FA7413" w:rsidRDefault="00D712A8">
      <w:pPr>
        <w:spacing w:after="11" w:line="248" w:lineRule="auto"/>
        <w:ind w:left="355" w:right="64" w:hanging="10"/>
        <w:jc w:val="both"/>
      </w:pPr>
      <w:r>
        <w:rPr>
          <w:rFonts w:ascii="Arial" w:eastAsia="Arial" w:hAnsi="Arial" w:cs="Arial"/>
        </w:rPr>
        <w:t xml:space="preserve">Detrás de Supercor, la calle trasera del Supercor, el Hipercor, vamos. </w:t>
      </w:r>
    </w:p>
    <w:p w:rsidR="00FA7413" w:rsidRDefault="00D712A8">
      <w:pPr>
        <w:spacing w:after="0"/>
        <w:ind w:left="360"/>
      </w:pPr>
      <w:r>
        <w:rPr>
          <w:rFonts w:ascii="Arial" w:eastAsia="Arial" w:hAnsi="Arial" w:cs="Arial"/>
        </w:rPr>
        <w:t xml:space="preserve"> </w:t>
      </w:r>
    </w:p>
    <w:p w:rsidR="00FA7413" w:rsidRDefault="00D712A8">
      <w:pPr>
        <w:spacing w:after="35" w:line="248" w:lineRule="auto"/>
        <w:ind w:left="355" w:right="62" w:hanging="10"/>
        <w:jc w:val="both"/>
      </w:pPr>
      <w:r>
        <w:rPr>
          <w:rFonts w:ascii="Arial" w:eastAsia="Arial" w:hAnsi="Arial" w:cs="Arial"/>
          <w:b/>
        </w:rPr>
        <w:t xml:space="preserve">INTERVIENE EL PRIMER TENIENTE DE ALCALDE, DON JORGE BAUTE DELGADO. – </w:t>
      </w:r>
    </w:p>
    <w:p w:rsidR="00FA7413" w:rsidRDefault="00D712A8">
      <w:pPr>
        <w:spacing w:after="11" w:line="248" w:lineRule="auto"/>
        <w:ind w:left="355" w:right="64" w:hanging="10"/>
        <w:jc w:val="both"/>
      </w:pPr>
      <w:r>
        <w:rPr>
          <w:rFonts w:ascii="Arial" w:eastAsia="Arial" w:hAnsi="Arial" w:cs="Arial"/>
        </w:rPr>
        <w:t xml:space="preserve">Detrás. –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2" w:hanging="10"/>
        <w:jc w:val="both"/>
      </w:pPr>
      <w:r>
        <w:rPr>
          <w:rFonts w:ascii="Arial" w:eastAsia="Arial" w:hAnsi="Arial" w:cs="Arial"/>
          <w:b/>
        </w:rPr>
        <w:t xml:space="preserve">INTERVIENE DON JACOBO LÓPEZ FARIÑA. – </w:t>
      </w:r>
    </w:p>
    <w:p w:rsidR="00FA7413" w:rsidRDefault="00D712A8">
      <w:pPr>
        <w:spacing w:after="20"/>
        <w:ind w:left="360"/>
      </w:pPr>
      <w:r>
        <w:rPr>
          <w:rFonts w:ascii="Arial" w:eastAsia="Arial" w:hAnsi="Arial" w:cs="Arial"/>
          <w:b/>
        </w:rPr>
        <w:t xml:space="preserve"> </w:t>
      </w:r>
    </w:p>
    <w:p w:rsidR="00FA7413" w:rsidRDefault="00D712A8">
      <w:pPr>
        <w:spacing w:after="11" w:line="248" w:lineRule="auto"/>
        <w:ind w:left="355" w:right="64" w:hanging="10"/>
        <w:jc w:val="both"/>
      </w:pPr>
      <w:r>
        <w:rPr>
          <w:rFonts w:ascii="Arial" w:eastAsia="Arial" w:hAnsi="Arial" w:cs="Arial"/>
        </w:rPr>
        <w:t xml:space="preserve">O la que sube…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(habla alguien, pero no se entiende lo que dice)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…la que baja, correcto, es en esa zona, la que baja.  </w:t>
      </w:r>
    </w:p>
    <w:p w:rsidR="00FA7413" w:rsidRDefault="00D712A8">
      <w:pPr>
        <w:spacing w:after="0"/>
        <w:ind w:left="360"/>
      </w:pPr>
      <w:r>
        <w:rPr>
          <w:rFonts w:ascii="Arial" w:eastAsia="Arial" w:hAnsi="Arial" w:cs="Arial"/>
        </w:rPr>
        <w:t xml:space="preserve"> </w:t>
      </w:r>
    </w:p>
    <w:p w:rsidR="00FA7413" w:rsidRDefault="00D712A8">
      <w:pPr>
        <w:spacing w:after="32" w:line="248" w:lineRule="auto"/>
        <w:ind w:left="355" w:right="62" w:hanging="10"/>
        <w:jc w:val="both"/>
      </w:pPr>
      <w:r>
        <w:rPr>
          <w:rFonts w:ascii="Arial" w:eastAsia="Arial" w:hAnsi="Arial" w:cs="Arial"/>
          <w:b/>
        </w:rPr>
        <w:t xml:space="preserve">INTERVIENE EL PRIMER TENIENTE DE ALCALDE, DON JORGE BAUTE DELGADO. – </w:t>
      </w:r>
    </w:p>
    <w:p w:rsidR="00FA7413" w:rsidRDefault="00D712A8">
      <w:pPr>
        <w:spacing w:after="11" w:line="248" w:lineRule="auto"/>
        <w:ind w:left="355" w:right="64" w:hanging="10"/>
        <w:jc w:val="both"/>
      </w:pPr>
      <w:r>
        <w:rPr>
          <w:rFonts w:ascii="Arial" w:eastAsia="Arial" w:hAnsi="Arial" w:cs="Arial"/>
        </w:rPr>
        <w:t>¿Pero cuál es el p</w:t>
      </w:r>
      <w:r>
        <w:rPr>
          <w:rFonts w:ascii="Arial" w:eastAsia="Arial" w:hAnsi="Arial" w:cs="Arial"/>
        </w:rPr>
        <w:t xml:space="preserve">roblema?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2" w:hanging="10"/>
        <w:jc w:val="both"/>
      </w:pPr>
      <w:r>
        <w:rPr>
          <w:rFonts w:ascii="Arial" w:eastAsia="Arial" w:hAnsi="Arial" w:cs="Arial"/>
          <w:b/>
        </w:rPr>
        <w:t xml:space="preserve">INTERVIENE DON JACOBO LÓPEZ FARIÑA. - </w:t>
      </w:r>
    </w:p>
    <w:p w:rsidR="00FA7413" w:rsidRDefault="00D712A8">
      <w:pPr>
        <w:spacing w:after="0" w:line="248" w:lineRule="auto"/>
        <w:ind w:left="355" w:right="64" w:hanging="10"/>
        <w:jc w:val="both"/>
      </w:pPr>
      <w:r>
        <w:rPr>
          <w:rFonts w:ascii="Arial" w:eastAsia="Arial" w:hAnsi="Arial" w:cs="Arial"/>
        </w:rPr>
        <w:t xml:space="preserve">El problema es el garaje que le dificulta la visión, entonces están pidiendo espejo para poder salir en condiciones de seguridad. – </w:t>
      </w:r>
    </w:p>
    <w:p w:rsidR="00FA7413" w:rsidRDefault="00D712A8">
      <w:pPr>
        <w:spacing w:after="0"/>
        <w:ind w:left="360"/>
      </w:pPr>
      <w:r>
        <w:rPr>
          <w:rFonts w:ascii="Arial" w:eastAsia="Arial" w:hAnsi="Arial" w:cs="Arial"/>
        </w:rPr>
        <w:t xml:space="preserve"> </w:t>
      </w:r>
    </w:p>
    <w:p w:rsidR="00FA7413" w:rsidRDefault="00D712A8">
      <w:pPr>
        <w:spacing w:after="30" w:line="248" w:lineRule="auto"/>
        <w:ind w:left="355" w:right="62" w:hanging="10"/>
        <w:jc w:val="both"/>
      </w:pPr>
      <w:r>
        <w:rPr>
          <w:rFonts w:ascii="Arial" w:eastAsia="Arial" w:hAnsi="Arial" w:cs="Arial"/>
          <w:b/>
        </w:rPr>
        <w:t xml:space="preserve">INTERVIENE EL PRIMER TENIENTE DE ALCALDE, DON JORGE BAUTE DELGADO. – </w:t>
      </w:r>
    </w:p>
    <w:p w:rsidR="00FA7413" w:rsidRDefault="00D712A8">
      <w:pPr>
        <w:spacing w:after="17" w:line="248" w:lineRule="auto"/>
        <w:ind w:left="355" w:right="64" w:hanging="10"/>
        <w:jc w:val="both"/>
      </w:pPr>
      <w:r>
        <w:rPr>
          <w:rFonts w:ascii="Arial" w:eastAsia="Arial" w:hAnsi="Arial" w:cs="Arial"/>
        </w:rPr>
        <w:t xml:space="preserve">Eso tienen que solicitarlo por el SAC para que el técnico haga un informe y si se procede a poner un espejo, tienen que hacer un escrito en el SAC para poder hacer el procedimiento y el informe. </w:t>
      </w:r>
    </w:p>
    <w:p w:rsidR="00FA7413" w:rsidRDefault="00D712A8">
      <w:pPr>
        <w:spacing w:after="11" w:line="248" w:lineRule="auto"/>
        <w:ind w:left="355" w:right="64" w:hanging="10"/>
        <w:jc w:val="both"/>
      </w:pPr>
      <w:r>
        <w:rPr>
          <w:rFonts w:ascii="Arial" w:eastAsia="Arial" w:hAnsi="Arial" w:cs="Arial"/>
        </w:rPr>
        <w:t xml:space="preserve">–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2" w:hanging="10"/>
        <w:jc w:val="both"/>
      </w:pPr>
      <w:r>
        <w:rPr>
          <w:rFonts w:ascii="Arial" w:eastAsia="Arial" w:hAnsi="Arial" w:cs="Arial"/>
          <w:b/>
        </w:rPr>
        <w:t xml:space="preserve">INTERVIENE DON JACOBO LÓPEZ FARIÑA. – </w:t>
      </w:r>
    </w:p>
    <w:p w:rsidR="00FA7413" w:rsidRDefault="00D712A8">
      <w:pPr>
        <w:spacing w:after="11" w:line="248" w:lineRule="auto"/>
        <w:ind w:left="355" w:right="64" w:hanging="10"/>
        <w:jc w:val="both"/>
      </w:pPr>
      <w:r>
        <w:rPr>
          <w:rFonts w:ascii="Arial" w:eastAsia="Arial" w:hAnsi="Arial" w:cs="Arial"/>
        </w:rPr>
        <w:t xml:space="preserve">Si, tengo otro. </w:t>
      </w:r>
    </w:p>
    <w:p w:rsidR="00FA7413" w:rsidRDefault="00D712A8">
      <w:pPr>
        <w:spacing w:after="0" w:line="248" w:lineRule="auto"/>
        <w:ind w:left="355" w:right="64" w:hanging="10"/>
        <w:jc w:val="both"/>
      </w:pPr>
      <w:r>
        <w:rPr>
          <w:noProof/>
        </w:rPr>
        <mc:AlternateContent>
          <mc:Choice Requires="wpg">
            <w:drawing>
              <wp:anchor distT="0" distB="0" distL="114300" distR="114300" simplePos="0" relativeHeight="251840512"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26901" name="Group 226901"/>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24369" name="Rectangle 24369"/>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24370" name="Rectangle 24370"/>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176 de 180 </w:t>
                              </w:r>
                            </w:p>
                          </w:txbxContent>
                        </wps:txbx>
                        <wps:bodyPr horzOverflow="overflow" vert="horz" lIns="0" tIns="0" rIns="0" bIns="0" rtlCol="0">
                          <a:noAutofit/>
                        </wps:bodyPr>
                      </wps:wsp>
                    </wpg:wgp>
                  </a:graphicData>
                </a:graphic>
              </wp:anchor>
            </w:drawing>
          </mc:Choice>
          <mc:Fallback xmlns:a="http://schemas.openxmlformats.org/drawingml/2006/main">
            <w:pict>
              <v:group id="Group 226901" style="width:12.7031pt;height:275.586pt;position:absolute;mso-position-horizontal-relative:page;mso-position-horizontal:absolute;margin-left:682.278pt;mso-position-vertical-relative:page;margin-top:536.334pt;" coordsize="1613,34999">
                <v:rect id="Rectangle 24369"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24370"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176 de 180 </w:t>
                        </w:r>
                      </w:p>
                    </w:txbxContent>
                  </v:textbox>
                </v:rect>
                <w10:wrap type="square"/>
              </v:group>
            </w:pict>
          </mc:Fallback>
        </mc:AlternateContent>
      </w:r>
      <w:r>
        <w:rPr>
          <w:rFonts w:ascii="Arial" w:eastAsia="Arial" w:hAnsi="Arial" w:cs="Arial"/>
        </w:rPr>
        <w:t>Ahora que las normas de circulación han variado y en much</w:t>
      </w:r>
      <w:r>
        <w:rPr>
          <w:rFonts w:ascii="Arial" w:eastAsia="Arial" w:hAnsi="Arial" w:cs="Arial"/>
        </w:rPr>
        <w:t xml:space="preserve">as de las vías del municipio la velocidad máxima es de 30 km por hora, vecinos de la subida de Araya y de la zona del cementerio se han puesto en contacto con nosotros para que, como ya hemos comentado en otras ocasiones se tomen las medidas de control de </w:t>
      </w:r>
      <w:r>
        <w:rPr>
          <w:rFonts w:ascii="Arial" w:eastAsia="Arial" w:hAnsi="Arial" w:cs="Arial"/>
        </w:rPr>
        <w:t xml:space="preserve">velocidad de los vehículos que diariamente transitan en esa zona. Y la última, los vecinos de la calle Amance se han puesto en contacto con nosotros para solicitar la ubicación de un espejo que les permita garantizar la seguridad a la hora de incorporarse </w:t>
      </w:r>
      <w:r>
        <w:rPr>
          <w:rFonts w:ascii="Arial" w:eastAsia="Arial" w:hAnsi="Arial" w:cs="Arial"/>
        </w:rPr>
        <w:t xml:space="preserve">con su vehículo a la calle Condes de Abona. – </w:t>
      </w:r>
    </w:p>
    <w:p w:rsidR="00FA7413" w:rsidRDefault="00D712A8">
      <w:pPr>
        <w:spacing w:after="0"/>
        <w:ind w:left="360"/>
      </w:pPr>
      <w:r>
        <w:rPr>
          <w:rFonts w:ascii="Arial" w:eastAsia="Arial" w:hAnsi="Arial" w:cs="Arial"/>
        </w:rPr>
        <w:t xml:space="preserve"> </w:t>
      </w:r>
    </w:p>
    <w:p w:rsidR="00FA7413" w:rsidRDefault="00D712A8">
      <w:pPr>
        <w:spacing w:after="29" w:line="248" w:lineRule="auto"/>
        <w:ind w:left="355" w:right="62" w:hanging="10"/>
        <w:jc w:val="both"/>
      </w:pPr>
      <w:r>
        <w:rPr>
          <w:rFonts w:ascii="Arial" w:eastAsia="Arial" w:hAnsi="Arial" w:cs="Arial"/>
          <w:b/>
        </w:rPr>
        <w:t xml:space="preserve">INTERVIENE EL PRIMER TENIENTE DE ALCALDE, DON JORGE BAUTE DELGADO.  </w:t>
      </w:r>
    </w:p>
    <w:p w:rsidR="00FA7413" w:rsidRDefault="00D712A8">
      <w:pPr>
        <w:spacing w:after="11" w:line="248" w:lineRule="auto"/>
        <w:ind w:left="355" w:right="64" w:hanging="10"/>
        <w:jc w:val="both"/>
      </w:pPr>
      <w:r>
        <w:rPr>
          <w:rFonts w:ascii="Arial" w:eastAsia="Arial" w:hAnsi="Arial" w:cs="Arial"/>
        </w:rPr>
        <w:t xml:space="preserve">De la calle Amance.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2" w:hanging="10"/>
        <w:jc w:val="both"/>
      </w:pPr>
      <w:r>
        <w:rPr>
          <w:rFonts w:ascii="Arial" w:eastAsia="Arial" w:hAnsi="Arial" w:cs="Arial"/>
          <w:b/>
        </w:rPr>
        <w:t xml:space="preserve">INTERVIENE DOÑA ALICIA MERCEDES MARRERO MENESES.  </w:t>
      </w:r>
    </w:p>
    <w:p w:rsidR="00FA7413" w:rsidRDefault="00D712A8">
      <w:pPr>
        <w:spacing w:after="0" w:line="248" w:lineRule="auto"/>
        <w:ind w:left="355" w:right="64" w:hanging="10"/>
        <w:jc w:val="both"/>
      </w:pPr>
      <w:r>
        <w:rPr>
          <w:rFonts w:ascii="Arial" w:eastAsia="Arial" w:hAnsi="Arial" w:cs="Arial"/>
        </w:rPr>
        <w:t xml:space="preserve">En sesión ordinaria celebrada en el mes de junio de 2017, este Plenario aprobó de manera unánime la moción presentada por los compañeros del Grupo Si se Puede relativa a la promoción de la gestión directa de los comedores escolares públicos de Candelaria, </w:t>
      </w:r>
      <w:r>
        <w:rPr>
          <w:rFonts w:ascii="Arial" w:eastAsia="Arial" w:hAnsi="Arial" w:cs="Arial"/>
        </w:rPr>
        <w:t xml:space="preserve">así como mejorar la calidad alimentaria y educativa de este servicio. </w:t>
      </w:r>
    </w:p>
    <w:p w:rsidR="00FA7413" w:rsidRDefault="00D712A8">
      <w:pPr>
        <w:spacing w:after="0" w:line="248" w:lineRule="auto"/>
        <w:ind w:left="355" w:right="64" w:hanging="10"/>
        <w:jc w:val="both"/>
      </w:pPr>
      <w:r>
        <w:rPr>
          <w:rFonts w:ascii="Arial" w:eastAsia="Arial" w:hAnsi="Arial" w:cs="Arial"/>
        </w:rPr>
        <w:t>Recientemente este Ayuntamiento inició el procedimiento para construir el comedor del Centro de Educación Infantil y Primaria de Punta Larga con un presupuesto base de licitación 414.71</w:t>
      </w:r>
      <w:r>
        <w:rPr>
          <w:rFonts w:ascii="Arial" w:eastAsia="Arial" w:hAnsi="Arial" w:cs="Arial"/>
        </w:rPr>
        <w:t>8 euros, que financia íntegramente la Consejería de Educación, Universidades, Cultura y Deportes del Gobierno de Canarias, mientras que al Consistorio le correspondería licitar y ejecutar el proyecto. También se ha conocido del cambio de gestión del comedo</w:t>
      </w:r>
      <w:r>
        <w:rPr>
          <w:rFonts w:ascii="Arial" w:eastAsia="Arial" w:hAnsi="Arial" w:cs="Arial"/>
        </w:rPr>
        <w:t>r previsto para el curso 2022-2023, pasando a ser gestión indirecta o lo que es lo mismo mediante un servicio externo de catering. Esta decisión ha creado incertidumbre y malestar y preocupación en varias decenas de padres y madres que pidieron un paso atr</w:t>
      </w:r>
      <w:r>
        <w:rPr>
          <w:rFonts w:ascii="Arial" w:eastAsia="Arial" w:hAnsi="Arial" w:cs="Arial"/>
        </w:rPr>
        <w:t>ás en la calidad alimentaria, la salud y la educación de este servicio. La pregunta es, ha realizado este Ayuntamiento o tiene previsto realizar alguna acción con la Consejería de Educación del Gobierno de Canarias para hacer cumplir lo acordado en este Sa</w:t>
      </w:r>
      <w:r>
        <w:rPr>
          <w:rFonts w:ascii="Arial" w:eastAsia="Arial" w:hAnsi="Arial" w:cs="Arial"/>
        </w:rPr>
        <w:t xml:space="preserve">lón Plenario y poder dotar a este espacio educativo de un comedor con gestión directa, mejorando la calidad alimentaria de cientos de escolares de este municipio. </w:t>
      </w:r>
    </w:p>
    <w:p w:rsidR="00FA7413" w:rsidRDefault="00D712A8">
      <w:pPr>
        <w:spacing w:after="11" w:line="248" w:lineRule="auto"/>
        <w:ind w:left="355" w:right="64" w:hanging="10"/>
        <w:jc w:val="both"/>
      </w:pPr>
      <w:r>
        <w:rPr>
          <w:rFonts w:ascii="Arial" w:eastAsia="Arial" w:hAnsi="Arial" w:cs="Arial"/>
        </w:rPr>
        <w:t xml:space="preserve">Gracias. –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2" w:hanging="10"/>
        <w:jc w:val="both"/>
      </w:pPr>
      <w:r>
        <w:rPr>
          <w:rFonts w:ascii="Arial" w:eastAsia="Arial" w:hAnsi="Arial" w:cs="Arial"/>
          <w:b/>
        </w:rPr>
        <w:t xml:space="preserve">INTERVIENE DOÑA MARGARITA EVA TENDERO BARROSO. – </w:t>
      </w:r>
    </w:p>
    <w:p w:rsidR="00FA7413" w:rsidRDefault="00D712A8">
      <w:pPr>
        <w:spacing w:after="0" w:line="248" w:lineRule="auto"/>
        <w:ind w:left="355" w:right="64" w:hanging="10"/>
        <w:jc w:val="both"/>
      </w:pPr>
      <w:r>
        <w:rPr>
          <w:rFonts w:ascii="Arial" w:eastAsia="Arial" w:hAnsi="Arial" w:cs="Arial"/>
        </w:rPr>
        <w:t xml:space="preserve">Si, para el Consejo Escolar </w:t>
      </w:r>
      <w:r>
        <w:rPr>
          <w:rFonts w:ascii="Arial" w:eastAsia="Arial" w:hAnsi="Arial" w:cs="Arial"/>
        </w:rPr>
        <w:t>del Colegio Punta Larga se hizo una votación en la cual se votaron varios puntos, por un lado, si se quería catering o cocina directa, en ese punto se votó por cocina directa, lo que salió a favor, después hubo otra votación en la cual decían que dentro de</w:t>
      </w:r>
      <w:r>
        <w:rPr>
          <w:rFonts w:ascii="Arial" w:eastAsia="Arial" w:hAnsi="Arial" w:cs="Arial"/>
        </w:rPr>
        <w:t xml:space="preserve"> esa cocina directa que era utilizando la cocina elaborar allí los alimentos, si se quería personal de la Consejería o personal que ellos contrataran por lo que tienen una gran problemática con el personal de la Consejería, no tienen sustituciones cuando s</w:t>
      </w:r>
      <w:r>
        <w:rPr>
          <w:rFonts w:ascii="Arial" w:eastAsia="Arial" w:hAnsi="Arial" w:cs="Arial"/>
        </w:rPr>
        <w:t>e cogen un día, los problemas cotidianos y ellos piden que los sustituyan y no lo sustituyen cuando hay faltas o bajas. Todo eso crea allí un problema, entonces en el punto ese yo, como miembro y porque se aprobó aquí en Pleno, voté que fuera cocina direct</w:t>
      </w:r>
      <w:r>
        <w:rPr>
          <w:rFonts w:ascii="Arial" w:eastAsia="Arial" w:hAnsi="Arial" w:cs="Arial"/>
        </w:rPr>
        <w:t xml:space="preserve">a en el primer punto y después voté también para que fuera personal de la Consejería, o sea nosotros en aquel momento dimos el voto favorable tal y como habíamos acordado en el Pleno y así lo expliqué en el Consejo Escolar. </w:t>
      </w:r>
    </w:p>
    <w:p w:rsidR="00FA7413" w:rsidRDefault="00D712A8">
      <w:pPr>
        <w:spacing w:after="0" w:line="248" w:lineRule="auto"/>
        <w:ind w:left="355" w:right="64" w:hanging="10"/>
        <w:jc w:val="both"/>
      </w:pPr>
      <w:r>
        <w:rPr>
          <w:rFonts w:ascii="Arial" w:eastAsia="Arial" w:hAnsi="Arial" w:cs="Arial"/>
        </w:rPr>
        <w:t xml:space="preserve">Nosotros, aparte también hemos </w:t>
      </w:r>
      <w:r>
        <w:rPr>
          <w:rFonts w:ascii="Arial" w:eastAsia="Arial" w:hAnsi="Arial" w:cs="Arial"/>
        </w:rPr>
        <w:t>enviado por dos veces consecutivas, o sea al 19 de septiembre y actualmente hace apenas unos días, dos veces hemos solicitado a la Consejería y hemos trasladado el problema que hay por la falta de personal, que crea todos estos problemas que han tenido los</w:t>
      </w:r>
      <w:r>
        <w:rPr>
          <w:rFonts w:ascii="Arial" w:eastAsia="Arial" w:hAnsi="Arial" w:cs="Arial"/>
        </w:rPr>
        <w:t xml:space="preserve"> niños que no han tenido siquiera, digamos permanencia, hay niños que han salido y han tenido que esperar por el hermano que salía mucho más tarde, hay muchísimos problemas, nosotros también hemos colaborado con ellos. </w:t>
      </w:r>
    </w:p>
    <w:p w:rsidR="00FA7413" w:rsidRDefault="00D712A8">
      <w:pPr>
        <w:spacing w:after="0" w:line="248" w:lineRule="auto"/>
        <w:ind w:left="355" w:right="64" w:hanging="10"/>
        <w:jc w:val="both"/>
      </w:pPr>
      <w:r>
        <w:rPr>
          <w:noProof/>
        </w:rPr>
        <mc:AlternateContent>
          <mc:Choice Requires="wpg">
            <w:drawing>
              <wp:anchor distT="0" distB="0" distL="114300" distR="114300" simplePos="0" relativeHeight="251841536"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28499" name="Group 228499"/>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24479" name="Rectangle 24479"/>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Cód. Validación: 946JAL4TJAGYNDDM</w:t>
                              </w:r>
                              <w:r>
                                <w:rPr>
                                  <w:rFonts w:ascii="Arial" w:eastAsia="Arial" w:hAnsi="Arial" w:cs="Arial"/>
                                  <w:sz w:val="12"/>
                                </w:rPr>
                                <w:t xml:space="preserve">76ZM7ZAYZ | Verificación: https://candelaria.sedelectronica.es/ </w:t>
                              </w:r>
                            </w:p>
                          </w:txbxContent>
                        </wps:txbx>
                        <wps:bodyPr horzOverflow="overflow" vert="horz" lIns="0" tIns="0" rIns="0" bIns="0" rtlCol="0">
                          <a:noAutofit/>
                        </wps:bodyPr>
                      </wps:wsp>
                      <wps:wsp>
                        <wps:cNvPr id="24480" name="Rectangle 24480"/>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177 de 180 </w:t>
                              </w:r>
                            </w:p>
                          </w:txbxContent>
                        </wps:txbx>
                        <wps:bodyPr horzOverflow="overflow" vert="horz" lIns="0" tIns="0" rIns="0" bIns="0" rtlCol="0">
                          <a:noAutofit/>
                        </wps:bodyPr>
                      </wps:wsp>
                    </wpg:wgp>
                  </a:graphicData>
                </a:graphic>
              </wp:anchor>
            </w:drawing>
          </mc:Choice>
          <mc:Fallback xmlns:a="http://schemas.openxmlformats.org/drawingml/2006/main">
            <w:pict>
              <v:group id="Group 228499" style="width:12.7031pt;height:275.586pt;position:absolute;mso-position-horizontal-relative:page;mso-position-horizontal:absolute;margin-left:682.278pt;mso-position-vertical-relative:page;margin-top:536.334pt;" coordsize="1613,34999">
                <v:rect id="Rectangle 24479"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24480"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177 de 180 </w:t>
                        </w:r>
                      </w:p>
                    </w:txbxContent>
                  </v:textbox>
                </v:rect>
                <w10:wrap type="square"/>
              </v:group>
            </w:pict>
          </mc:Fallback>
        </mc:AlternateContent>
      </w:r>
      <w:r>
        <w:rPr>
          <w:rFonts w:ascii="Arial" w:eastAsia="Arial" w:hAnsi="Arial" w:cs="Arial"/>
        </w:rPr>
        <w:t xml:space="preserve">También aparte de instar a la Consejería de Educación en </w:t>
      </w:r>
      <w:r>
        <w:rPr>
          <w:rFonts w:ascii="Arial" w:eastAsia="Arial" w:hAnsi="Arial" w:cs="Arial"/>
        </w:rPr>
        <w:t>estas dos ocasiones, también lo hemos hablado cuando nos hemos reunido personalmente y también cada vez que hacemos un Consejo Escolar Municipal lo hablamos y nosotros lo decimos que lo proponemos para que se pueda hacer de esta forma, incluso en el Consej</w:t>
      </w:r>
      <w:r>
        <w:rPr>
          <w:rFonts w:ascii="Arial" w:eastAsia="Arial" w:hAnsi="Arial" w:cs="Arial"/>
        </w:rPr>
        <w:t>o Escolar de Canarias hubo una sesión esta semana y volví a comentarlo que habían problemas con el personal de la Consejería porque estamos redactando la propuesta del Consejo Escolar de Canarias para el Plan General Anual, entonces nosotros desde el Ayunt</w:t>
      </w:r>
      <w:r>
        <w:rPr>
          <w:rFonts w:ascii="Arial" w:eastAsia="Arial" w:hAnsi="Arial" w:cs="Arial"/>
        </w:rPr>
        <w:t xml:space="preserve">amiento estamos haciendo todas esas acciones, cabe recordar que nuestro voto es uno de todos los votos que hay.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2" w:hanging="10"/>
        <w:jc w:val="both"/>
      </w:pPr>
      <w:r>
        <w:rPr>
          <w:rFonts w:ascii="Arial" w:eastAsia="Arial" w:hAnsi="Arial" w:cs="Arial"/>
          <w:b/>
        </w:rPr>
        <w:t xml:space="preserve">INTERVIENE LA SEÑORA ALCALDESA-PRESIDENTA.  </w:t>
      </w:r>
    </w:p>
    <w:p w:rsidR="00FA7413" w:rsidRDefault="00D712A8">
      <w:pPr>
        <w:spacing w:after="0" w:line="248" w:lineRule="auto"/>
        <w:ind w:left="355" w:right="64" w:hanging="10"/>
        <w:jc w:val="both"/>
      </w:pPr>
      <w:r>
        <w:rPr>
          <w:rFonts w:ascii="Arial" w:eastAsia="Arial" w:hAnsi="Arial" w:cs="Arial"/>
        </w:rPr>
        <w:t>Gracias, me comenta Jorge que vamos por la primera pregunta que ha realizado Vecinos x Candelar</w:t>
      </w:r>
      <w:r>
        <w:rPr>
          <w:rFonts w:ascii="Arial" w:eastAsia="Arial" w:hAnsi="Arial" w:cs="Arial"/>
        </w:rPr>
        <w:t xml:space="preserve">ia, le tocaría ahora a Doña Ángela. –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2" w:hanging="10"/>
        <w:jc w:val="both"/>
      </w:pPr>
      <w:r>
        <w:rPr>
          <w:rFonts w:ascii="Arial" w:eastAsia="Arial" w:hAnsi="Arial" w:cs="Arial"/>
          <w:b/>
        </w:rPr>
        <w:t xml:space="preserve">INTERVIENE DOÑA ÁNGELA CRUZ PERERA. – </w:t>
      </w:r>
    </w:p>
    <w:p w:rsidR="00FA7413" w:rsidRDefault="00D712A8">
      <w:pPr>
        <w:spacing w:after="0" w:line="248" w:lineRule="auto"/>
        <w:ind w:left="355" w:right="64" w:hanging="10"/>
        <w:jc w:val="both"/>
      </w:pPr>
      <w:r>
        <w:rPr>
          <w:rFonts w:ascii="Arial" w:eastAsia="Arial" w:hAnsi="Arial" w:cs="Arial"/>
        </w:rPr>
        <w:t xml:space="preserve">Pues mi pregunta va para el Concejal de Hacienda, Airam cómo va el tema de los pliegos para el proyecto de la recogida de residuos sólidos.  </w:t>
      </w:r>
    </w:p>
    <w:p w:rsidR="00FA7413" w:rsidRDefault="00D712A8">
      <w:pPr>
        <w:spacing w:after="0"/>
        <w:ind w:left="360"/>
      </w:pPr>
      <w:r>
        <w:rPr>
          <w:rFonts w:ascii="Arial" w:eastAsia="Arial" w:hAnsi="Arial" w:cs="Arial"/>
          <w:b/>
        </w:rPr>
        <w:t xml:space="preserve"> </w:t>
      </w:r>
    </w:p>
    <w:p w:rsidR="00FA7413" w:rsidRDefault="00D712A8">
      <w:pPr>
        <w:spacing w:after="11" w:line="248" w:lineRule="auto"/>
        <w:ind w:left="355" w:right="62" w:hanging="10"/>
        <w:jc w:val="both"/>
      </w:pPr>
      <w:r>
        <w:rPr>
          <w:rFonts w:ascii="Arial" w:eastAsia="Arial" w:hAnsi="Arial" w:cs="Arial"/>
          <w:b/>
        </w:rPr>
        <w:t>INTERVIENE DON AIRAM PÉREZ CHINE</w:t>
      </w:r>
      <w:r>
        <w:rPr>
          <w:rFonts w:ascii="Arial" w:eastAsia="Arial" w:hAnsi="Arial" w:cs="Arial"/>
          <w:b/>
        </w:rPr>
        <w:t xml:space="preserve">A.  </w:t>
      </w:r>
    </w:p>
    <w:p w:rsidR="00FA7413" w:rsidRDefault="00D712A8">
      <w:pPr>
        <w:spacing w:after="0" w:line="248" w:lineRule="auto"/>
        <w:ind w:left="355" w:right="64" w:hanging="10"/>
        <w:jc w:val="both"/>
      </w:pPr>
      <w:r>
        <w:rPr>
          <w:rFonts w:ascii="Arial" w:eastAsia="Arial" w:hAnsi="Arial" w:cs="Arial"/>
        </w:rPr>
        <w:t xml:space="preserve">Bueno, como todos bien saben creo que hace dos Plenos aprobamos el documento que se tenía que mandar a la Junta Consultiva del Gobierno de Canarias, se ha enviado, evidentemente no tenemos respuesta todavía, estamos a la espera de que nos respondan y </w:t>
      </w:r>
      <w:r>
        <w:rPr>
          <w:rFonts w:ascii="Arial" w:eastAsia="Arial" w:hAnsi="Arial" w:cs="Arial"/>
        </w:rPr>
        <w:t>paralelamente seguimos trabajando en perfilar, terminar de perfilar,  tenemos un documento ya redactado, estamos perfilándolo, artículo por artículo, clausula por clausula con el equipo técnico, para poder tenerlo concretado en el menor tiempo posible junt</w:t>
      </w:r>
      <w:r>
        <w:rPr>
          <w:rFonts w:ascii="Arial" w:eastAsia="Arial" w:hAnsi="Arial" w:cs="Arial"/>
        </w:rPr>
        <w:t xml:space="preserve">o con el segundo pliego como ya hablamos en su momento, que es el de la RPT municipales que también lo tenemos en un borrador y estamos trabajando en esa línea. </w:t>
      </w:r>
    </w:p>
    <w:p w:rsidR="00FA7413" w:rsidRDefault="00D712A8">
      <w:pPr>
        <w:spacing w:after="0" w:line="248" w:lineRule="auto"/>
        <w:ind w:left="355" w:right="64" w:hanging="10"/>
        <w:jc w:val="both"/>
      </w:pPr>
      <w:r>
        <w:rPr>
          <w:rFonts w:ascii="Arial" w:eastAsia="Arial" w:hAnsi="Arial" w:cs="Arial"/>
        </w:rPr>
        <w:t xml:space="preserve">Desde que tengamos las repuestas por parte de la Junta Consultiva nuestra intención es ya una </w:t>
      </w:r>
      <w:r>
        <w:rPr>
          <w:rFonts w:ascii="Arial" w:eastAsia="Arial" w:hAnsi="Arial" w:cs="Arial"/>
        </w:rPr>
        <w:t xml:space="preserve">vez que tengamos los informes preceptivos poder traer a Pleno los pliegos y poder aprobar y poder iniciar el procedimiento de licitación. </w:t>
      </w:r>
    </w:p>
    <w:p w:rsidR="00FA7413" w:rsidRDefault="00D712A8">
      <w:pPr>
        <w:spacing w:after="0" w:line="248" w:lineRule="auto"/>
        <w:ind w:left="355" w:right="64" w:hanging="10"/>
        <w:jc w:val="both"/>
      </w:pPr>
      <w:r>
        <w:rPr>
          <w:rFonts w:ascii="Arial" w:eastAsia="Arial" w:hAnsi="Arial" w:cs="Arial"/>
        </w:rPr>
        <w:t>Ahora mismo está así, no ha cambiado mucho desde la última sesión Plenaria donde aprobamos ese documento, lo que hemo</w:t>
      </w:r>
      <w:r>
        <w:rPr>
          <w:rFonts w:ascii="Arial" w:eastAsia="Arial" w:hAnsi="Arial" w:cs="Arial"/>
        </w:rPr>
        <w:t>s hecho después de la sesión Plenaria es enviar los documentos como digo a la Junta Consultiva, estamos a la espera de que nos respondan, pero seguimos trabajando, perfilando los pliegos para poder sacarlos y tenerlos preparados para que desde que nos lleg</w:t>
      </w:r>
      <w:r>
        <w:rPr>
          <w:rFonts w:ascii="Arial" w:eastAsia="Arial" w:hAnsi="Arial" w:cs="Arial"/>
        </w:rPr>
        <w:t xml:space="preserve">ue esa respuesta poderlos traer a Pleno.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2" w:hanging="10"/>
        <w:jc w:val="both"/>
      </w:pPr>
      <w:r>
        <w:rPr>
          <w:rFonts w:ascii="Arial" w:eastAsia="Arial" w:hAnsi="Arial" w:cs="Arial"/>
          <w:b/>
        </w:rPr>
        <w:t xml:space="preserve">INTERVIENE LA SEÑORA ALCALDESA-PRESIDENTA. – </w:t>
      </w:r>
    </w:p>
    <w:p w:rsidR="00FA7413" w:rsidRDefault="00D712A8">
      <w:pPr>
        <w:spacing w:after="11" w:line="248" w:lineRule="auto"/>
        <w:ind w:left="355" w:right="64" w:hanging="10"/>
        <w:jc w:val="both"/>
      </w:pPr>
      <w:r>
        <w:rPr>
          <w:rFonts w:ascii="Arial" w:eastAsia="Arial" w:hAnsi="Arial" w:cs="Arial"/>
        </w:rPr>
        <w:t xml:space="preserve">Gracias Airam, gracias Ángela, pasamos a Si se Puede, Don Antonio.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2" w:hanging="10"/>
        <w:jc w:val="both"/>
      </w:pPr>
      <w:r>
        <w:rPr>
          <w:rFonts w:ascii="Arial" w:eastAsia="Arial" w:hAnsi="Arial" w:cs="Arial"/>
          <w:b/>
        </w:rPr>
        <w:t xml:space="preserve">INTERVIENE DON ANTONIO DELGADO GARCÍA. - </w:t>
      </w:r>
    </w:p>
    <w:p w:rsidR="00FA7413" w:rsidRDefault="00D712A8">
      <w:pPr>
        <w:spacing w:after="0" w:line="248" w:lineRule="auto"/>
        <w:ind w:left="355" w:right="64" w:hanging="10"/>
        <w:jc w:val="both"/>
      </w:pPr>
      <w:r>
        <w:rPr>
          <w:rFonts w:ascii="Arial" w:eastAsia="Arial" w:hAnsi="Arial" w:cs="Arial"/>
        </w:rPr>
        <w:t>Hemos tenido conocimiento que el Consejo Insular de A</w:t>
      </w:r>
      <w:r>
        <w:rPr>
          <w:rFonts w:ascii="Arial" w:eastAsia="Arial" w:hAnsi="Arial" w:cs="Arial"/>
        </w:rPr>
        <w:t xml:space="preserve">guas va a poner 966.000 euros para la realización de la obra que debe transportar las aguas residuales de Candelaria y Caletillas hasta la depuradora comarcal. </w:t>
      </w:r>
    </w:p>
    <w:p w:rsidR="00FA7413" w:rsidRDefault="00D712A8">
      <w:pPr>
        <w:spacing w:after="0" w:line="248" w:lineRule="auto"/>
        <w:ind w:left="355" w:right="64" w:hanging="10"/>
        <w:jc w:val="both"/>
      </w:pPr>
      <w:r>
        <w:rPr>
          <w:rFonts w:ascii="Arial" w:eastAsia="Arial" w:hAnsi="Arial" w:cs="Arial"/>
        </w:rPr>
        <w:t>El proyecto de esta conducción de aguas residuales y obras de saneamiento tiene un valor de cas</w:t>
      </w:r>
      <w:r>
        <w:rPr>
          <w:rFonts w:ascii="Arial" w:eastAsia="Arial" w:hAnsi="Arial" w:cs="Arial"/>
        </w:rPr>
        <w:t xml:space="preserve">i cuatro millones de euros, por eso preguntamos va a disponer este Ayuntamiento de los tres millones restantes necesarios para realizar esta obra.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2" w:hanging="10"/>
        <w:jc w:val="both"/>
      </w:pPr>
      <w:r>
        <w:rPr>
          <w:rFonts w:ascii="Arial" w:eastAsia="Arial" w:hAnsi="Arial" w:cs="Arial"/>
          <w:b/>
        </w:rPr>
        <w:t xml:space="preserve">INTERVIENE LA SEÑORA ALCALDESA-PRESIDENTA.  </w:t>
      </w:r>
    </w:p>
    <w:p w:rsidR="00FA7413" w:rsidRDefault="00D712A8">
      <w:pPr>
        <w:spacing w:after="0" w:line="248" w:lineRule="auto"/>
        <w:ind w:left="355" w:right="64" w:hanging="10"/>
        <w:jc w:val="both"/>
      </w:pPr>
      <w:r>
        <w:rPr>
          <w:rFonts w:ascii="Arial" w:eastAsia="Arial" w:hAnsi="Arial" w:cs="Arial"/>
        </w:rPr>
        <w:t xml:space="preserve">Vaya pues no nos ha llegado información oficialmente todavía, ya la conocemos porque hemos tenido reuniones con el Consejo Insular de Aguas y efectivamente ahí estamos con las gestiones para poder recabar más financiación. </w:t>
      </w:r>
    </w:p>
    <w:p w:rsidR="00FA7413" w:rsidRDefault="00D712A8">
      <w:pPr>
        <w:spacing w:after="0" w:line="248" w:lineRule="auto"/>
        <w:ind w:left="355" w:right="64" w:hanging="10"/>
        <w:jc w:val="both"/>
      </w:pPr>
      <w:r>
        <w:rPr>
          <w:noProof/>
        </w:rPr>
        <mc:AlternateContent>
          <mc:Choice Requires="wpg">
            <w:drawing>
              <wp:anchor distT="0" distB="0" distL="114300" distR="114300" simplePos="0" relativeHeight="251842560"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29157" name="Group 229157"/>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24598" name="Rectangle 24598"/>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Cód. Validación: 946JAL4TJAGY</w:t>
                              </w:r>
                              <w:r>
                                <w:rPr>
                                  <w:rFonts w:ascii="Arial" w:eastAsia="Arial" w:hAnsi="Arial" w:cs="Arial"/>
                                  <w:sz w:val="12"/>
                                </w:rPr>
                                <w:t xml:space="preserve">NDDM76ZM7ZAYZ | Verificación: https://candelaria.sedelectronica.es/ </w:t>
                              </w:r>
                            </w:p>
                          </w:txbxContent>
                        </wps:txbx>
                        <wps:bodyPr horzOverflow="overflow" vert="horz" lIns="0" tIns="0" rIns="0" bIns="0" rtlCol="0">
                          <a:noAutofit/>
                        </wps:bodyPr>
                      </wps:wsp>
                      <wps:wsp>
                        <wps:cNvPr id="24599" name="Rectangle 24599"/>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178 de 180 </w:t>
                              </w:r>
                            </w:p>
                          </w:txbxContent>
                        </wps:txbx>
                        <wps:bodyPr horzOverflow="overflow" vert="horz" lIns="0" tIns="0" rIns="0" bIns="0" rtlCol="0">
                          <a:noAutofit/>
                        </wps:bodyPr>
                      </wps:wsp>
                    </wpg:wgp>
                  </a:graphicData>
                </a:graphic>
              </wp:anchor>
            </w:drawing>
          </mc:Choice>
          <mc:Fallback xmlns:a="http://schemas.openxmlformats.org/drawingml/2006/main">
            <w:pict>
              <v:group id="Group 229157" style="width:12.7031pt;height:275.586pt;position:absolute;mso-position-horizontal-relative:page;mso-position-horizontal:absolute;margin-left:682.278pt;mso-position-vertical-relative:page;margin-top:536.334pt;" coordsize="1613,34999">
                <v:rect id="Rectangle 24598"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24599"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178 de 180 </w:t>
                        </w:r>
                      </w:p>
                    </w:txbxContent>
                  </v:textbox>
                </v:rect>
                <w10:wrap type="square"/>
              </v:group>
            </w:pict>
          </mc:Fallback>
        </mc:AlternateContent>
      </w:r>
      <w:r>
        <w:rPr>
          <w:rFonts w:ascii="Arial" w:eastAsia="Arial" w:hAnsi="Arial" w:cs="Arial"/>
        </w:rPr>
        <w:t>El proyecto del que usted habla es un proyecto que tiene un valor en total de casi ocho mi</w:t>
      </w:r>
      <w:r>
        <w:rPr>
          <w:rFonts w:ascii="Arial" w:eastAsia="Arial" w:hAnsi="Arial" w:cs="Arial"/>
        </w:rPr>
        <w:t>llones de euros en dos fases y en principio esa financiación es para la primera fase desde Punta Larga hasta Candelaria, eso con remanentes del Consejo Insular y nosotros estamos viendo de qué manera con el Plan de Cooperación y nuestros remanentes podemos</w:t>
      </w:r>
      <w:r>
        <w:rPr>
          <w:rFonts w:ascii="Arial" w:eastAsia="Arial" w:hAnsi="Arial" w:cs="Arial"/>
        </w:rPr>
        <w:t xml:space="preserve"> completar esa primera fase porque son dos, entonces son proyectos que están bastante maduros, buenos están informados, y estamos porque si hay financiación también de otras Administraciones, estamos articulando a ver que figura pública también permite la </w:t>
      </w:r>
      <w:r>
        <w:rPr>
          <w:rFonts w:ascii="Arial" w:eastAsia="Arial" w:hAnsi="Arial" w:cs="Arial"/>
        </w:rPr>
        <w:t>contratación, si es un convenio, si lo licitamos nosotros, si lo licitan ellos, estamos pendientes todavía de esas cuestiones pero en principio la financiación obviamente hay que preverla, nosotros tenemos otra herramienta como digo que es el de cooperació</w:t>
      </w:r>
      <w:r>
        <w:rPr>
          <w:rFonts w:ascii="Arial" w:eastAsia="Arial" w:hAnsi="Arial" w:cs="Arial"/>
        </w:rPr>
        <w:t>n y los remanentes y ahí estamos ahora mismo porque estamos ahora mismo más centrados en la primera fase que vamos acometer que es la de Plaza de la Basílica, San Blas hasta el polígono porque es el primer tramos que debería culminarse para que las aguas l</w:t>
      </w:r>
      <w:r>
        <w:rPr>
          <w:rFonts w:ascii="Arial" w:eastAsia="Arial" w:hAnsi="Arial" w:cs="Arial"/>
        </w:rPr>
        <w:t>leguen a la depuradora y estamos centrados, de momento creemos, espero que vaya todo bien y que se puedan iniciar las gestiones con el Gobierno de Canarias con financiación que ya también nos han comprometido y estamos ahora mismo centrados en esa parte po</w:t>
      </w:r>
      <w:r>
        <w:rPr>
          <w:rFonts w:ascii="Arial" w:eastAsia="Arial" w:hAnsi="Arial" w:cs="Arial"/>
        </w:rPr>
        <w:t xml:space="preserve">rque también hay otras cuestiones administrativas de exposición de suelos y demás que estamos tratando de dilucidar y resolver y en el otro aspecto pues ya el proyecto está más maduro y obviamente lo completaremos, en principio la propuesta que tenemos es </w:t>
      </w:r>
      <w:r>
        <w:rPr>
          <w:rFonts w:ascii="Arial" w:eastAsia="Arial" w:hAnsi="Arial" w:cs="Arial"/>
        </w:rPr>
        <w:t xml:space="preserve">con el Plan de Cooperación y el remanente municipal. Gracias Don Antonio. Preguntas por parte del Partido Popular.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2" w:hanging="10"/>
        <w:jc w:val="both"/>
      </w:pPr>
      <w:r>
        <w:rPr>
          <w:rFonts w:ascii="Arial" w:eastAsia="Arial" w:hAnsi="Arial" w:cs="Arial"/>
          <w:b/>
        </w:rPr>
        <w:t xml:space="preserve">INTERVIENE DON JACOBO LÓPEZ FARIÑA. – </w:t>
      </w:r>
    </w:p>
    <w:p w:rsidR="00FA7413" w:rsidRDefault="00D712A8">
      <w:pPr>
        <w:spacing w:after="0" w:line="248" w:lineRule="auto"/>
        <w:ind w:left="355" w:right="64" w:hanging="10"/>
        <w:jc w:val="both"/>
      </w:pPr>
      <w:r>
        <w:rPr>
          <w:rFonts w:ascii="Arial" w:eastAsia="Arial" w:hAnsi="Arial" w:cs="Arial"/>
        </w:rPr>
        <w:t xml:space="preserve">Si, los vecinos, comerciantes y hoteleros del municipio nos han preguntado cuándo se va a proceder </w:t>
      </w:r>
      <w:r>
        <w:rPr>
          <w:rFonts w:ascii="Arial" w:eastAsia="Arial" w:hAnsi="Arial" w:cs="Arial"/>
        </w:rPr>
        <w:t xml:space="preserve">a los trabajos de mejora y acondicionamiento de las playas.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2" w:hanging="10"/>
        <w:jc w:val="both"/>
      </w:pPr>
      <w:r>
        <w:rPr>
          <w:rFonts w:ascii="Arial" w:eastAsia="Arial" w:hAnsi="Arial" w:cs="Arial"/>
          <w:b/>
        </w:rPr>
        <w:t xml:space="preserve">INTERVIENE LA SEÑORA ALCALDESA-PRESIDENTA. - </w:t>
      </w:r>
    </w:p>
    <w:p w:rsidR="00FA7413" w:rsidRDefault="00D712A8">
      <w:pPr>
        <w:spacing w:after="11" w:line="248" w:lineRule="auto"/>
        <w:ind w:left="355" w:right="64" w:hanging="10"/>
        <w:jc w:val="both"/>
      </w:pPr>
      <w:r>
        <w:rPr>
          <w:rFonts w:ascii="Arial" w:eastAsia="Arial" w:hAnsi="Arial" w:cs="Arial"/>
        </w:rPr>
        <w:t xml:space="preserve">Jorge puedes comentar por favor.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2" w:hanging="10"/>
        <w:jc w:val="both"/>
      </w:pPr>
      <w:r>
        <w:rPr>
          <w:rFonts w:ascii="Arial" w:eastAsia="Arial" w:hAnsi="Arial" w:cs="Arial"/>
          <w:b/>
        </w:rPr>
        <w:t xml:space="preserve">INTERVIENE DON JORGE BAUTE DELGADO.  </w:t>
      </w:r>
    </w:p>
    <w:p w:rsidR="00FA7413" w:rsidRDefault="00D712A8">
      <w:pPr>
        <w:spacing w:after="0" w:line="248" w:lineRule="auto"/>
        <w:ind w:left="355" w:right="64" w:hanging="10"/>
        <w:jc w:val="both"/>
      </w:pPr>
      <w:r>
        <w:rPr>
          <w:rFonts w:ascii="Arial" w:eastAsia="Arial" w:hAnsi="Arial" w:cs="Arial"/>
        </w:rPr>
        <w:t xml:space="preserve">Te refieres a la limpieza de las playas, si ya tenemos autorización de </w:t>
      </w:r>
      <w:r>
        <w:rPr>
          <w:rFonts w:ascii="Arial" w:eastAsia="Arial" w:hAnsi="Arial" w:cs="Arial"/>
        </w:rPr>
        <w:t>Costas, se solicitó y ya tenemos la autorización y entraremos en cuanto las mareas nos lo permita, todos somos conscientes de que la situación del mar ahora mismo no permite hacer limpiezas en la orilla, en lo que hagamos hoy mañana está igual, en cuanto l</w:t>
      </w:r>
      <w:r>
        <w:rPr>
          <w:rFonts w:ascii="Arial" w:eastAsia="Arial" w:hAnsi="Arial" w:cs="Arial"/>
        </w:rPr>
        <w:t xml:space="preserve">a marea nos permita entraremos.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2" w:hanging="10"/>
        <w:jc w:val="both"/>
      </w:pPr>
      <w:r>
        <w:rPr>
          <w:rFonts w:ascii="Arial" w:eastAsia="Arial" w:hAnsi="Arial" w:cs="Arial"/>
          <w:b/>
        </w:rPr>
        <w:t xml:space="preserve">INTERVIENE LA SEÑORA ALCALDESA-PRESIDENTA. – </w:t>
      </w:r>
    </w:p>
    <w:p w:rsidR="00FA7413" w:rsidRDefault="00D712A8">
      <w:pPr>
        <w:spacing w:after="11" w:line="248" w:lineRule="auto"/>
        <w:ind w:left="355" w:right="64" w:hanging="10"/>
        <w:jc w:val="both"/>
      </w:pPr>
      <w:r>
        <w:rPr>
          <w:rFonts w:ascii="Arial" w:eastAsia="Arial" w:hAnsi="Arial" w:cs="Arial"/>
        </w:rPr>
        <w:t xml:space="preserve">Gracias, Jacobo otra pregunta. –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2" w:hanging="10"/>
        <w:jc w:val="both"/>
      </w:pPr>
      <w:r>
        <w:rPr>
          <w:rFonts w:ascii="Arial" w:eastAsia="Arial" w:hAnsi="Arial" w:cs="Arial"/>
          <w:b/>
        </w:rPr>
        <w:t xml:space="preserve">INTERVIENE DON JACOBO LÓPEZ FARIÑA. – </w:t>
      </w:r>
    </w:p>
    <w:p w:rsidR="00FA7413" w:rsidRDefault="00D712A8">
      <w:pPr>
        <w:spacing w:after="0" w:line="248" w:lineRule="auto"/>
        <w:ind w:left="355" w:right="64" w:hanging="10"/>
        <w:jc w:val="both"/>
      </w:pPr>
      <w:r>
        <w:rPr>
          <w:rFonts w:ascii="Arial" w:eastAsia="Arial" w:hAnsi="Arial" w:cs="Arial"/>
        </w:rPr>
        <w:t xml:space="preserve">Son muchos los vecinos que nos han vuelto a preguntar por el estado de la piscina municipal, cuándo se tiene previsto reabrirla. –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2" w:hanging="10"/>
        <w:jc w:val="both"/>
      </w:pPr>
      <w:r>
        <w:rPr>
          <w:rFonts w:ascii="Arial" w:eastAsia="Arial" w:hAnsi="Arial" w:cs="Arial"/>
          <w:b/>
        </w:rPr>
        <w:t xml:space="preserve">INTERVIENE LA SEÑORA ALCALDESA-PRESIDENTA. – </w:t>
      </w:r>
    </w:p>
    <w:p w:rsidR="00FA7413" w:rsidRDefault="00D712A8">
      <w:pPr>
        <w:spacing w:after="0" w:line="248" w:lineRule="auto"/>
        <w:ind w:left="355" w:right="64" w:hanging="10"/>
        <w:jc w:val="both"/>
      </w:pPr>
      <w:r>
        <w:rPr>
          <w:noProof/>
        </w:rPr>
        <mc:AlternateContent>
          <mc:Choice Requires="wpg">
            <w:drawing>
              <wp:anchor distT="0" distB="0" distL="114300" distR="114300" simplePos="0" relativeHeight="251843584" behindDoc="0" locked="0" layoutInCell="1" allowOverlap="1">
                <wp:simplePos x="0" y="0"/>
                <wp:positionH relativeFrom="page">
                  <wp:posOffset>8664935</wp:posOffset>
                </wp:positionH>
                <wp:positionV relativeFrom="page">
                  <wp:posOffset>6811442</wp:posOffset>
                </wp:positionV>
                <wp:extent cx="161330" cy="3499942"/>
                <wp:effectExtent l="0" t="0" r="0" b="0"/>
                <wp:wrapSquare wrapText="bothSides"/>
                <wp:docPr id="230691" name="Group 230691"/>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24720" name="Rectangle 24720"/>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Cód. Validación: 946JAL4TJAGYNDDM76ZM7ZAYZ | Verificación: https://candel</w:t>
                              </w:r>
                              <w:r>
                                <w:rPr>
                                  <w:rFonts w:ascii="Arial" w:eastAsia="Arial" w:hAnsi="Arial" w:cs="Arial"/>
                                  <w:sz w:val="12"/>
                                </w:rPr>
                                <w:t xml:space="preserve">aria.sedelectronica.es/ </w:t>
                              </w:r>
                            </w:p>
                          </w:txbxContent>
                        </wps:txbx>
                        <wps:bodyPr horzOverflow="overflow" vert="horz" lIns="0" tIns="0" rIns="0" bIns="0" rtlCol="0">
                          <a:noAutofit/>
                        </wps:bodyPr>
                      </wps:wsp>
                      <wps:wsp>
                        <wps:cNvPr id="24721" name="Rectangle 24721"/>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179 de 180 </w:t>
                              </w:r>
                            </w:p>
                          </w:txbxContent>
                        </wps:txbx>
                        <wps:bodyPr horzOverflow="overflow" vert="horz" lIns="0" tIns="0" rIns="0" bIns="0" rtlCol="0">
                          <a:noAutofit/>
                        </wps:bodyPr>
                      </wps:wsp>
                    </wpg:wgp>
                  </a:graphicData>
                </a:graphic>
              </wp:anchor>
            </w:drawing>
          </mc:Choice>
          <mc:Fallback xmlns:a="http://schemas.openxmlformats.org/drawingml/2006/main">
            <w:pict>
              <v:group id="Group 230691" style="width:12.7031pt;height:275.586pt;position:absolute;mso-position-horizontal-relative:page;mso-position-horizontal:absolute;margin-left:682.278pt;mso-position-vertical-relative:page;margin-top:536.334pt;" coordsize="1613,34999">
                <v:rect id="Rectangle 24720"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24721"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179 de 180 </w:t>
                        </w:r>
                      </w:p>
                    </w:txbxContent>
                  </v:textbox>
                </v:rect>
                <w10:wrap type="square"/>
              </v:group>
            </w:pict>
          </mc:Fallback>
        </mc:AlternateContent>
      </w:r>
      <w:r>
        <w:rPr>
          <w:rFonts w:ascii="Arial" w:eastAsia="Arial" w:hAnsi="Arial" w:cs="Arial"/>
        </w:rPr>
        <w:t>Yo creo que lo hemos repetido en varias ocasiones, todavía estamos pendientes de que nos llegue la concesión de Costas como saben, a m</w:t>
      </w:r>
      <w:r>
        <w:rPr>
          <w:rFonts w:ascii="Arial" w:eastAsia="Arial" w:hAnsi="Arial" w:cs="Arial"/>
        </w:rPr>
        <w:t>i si me gustaría aclararlo porque veo a veces manifestaciones de su grupo precisamente en redes sociales en algunos videos. algunas cuestiones que no se ajustan a la realidad, con lo cual les pido también ese compromiso que creo que todos tenemos con la ve</w:t>
      </w:r>
      <w:r>
        <w:rPr>
          <w:rFonts w:ascii="Arial" w:eastAsia="Arial" w:hAnsi="Arial" w:cs="Arial"/>
        </w:rPr>
        <w:t>rdad y dar la información correcta y la única razón por la que la piscina no está abierta es porque no tenemos aún la concesión de Costas, no hay otras razones, no hay desacuerdos entre Costas y el Ayuntamiento, no hay diferencias, precisamente ya se ha ex</w:t>
      </w:r>
      <w:r>
        <w:rPr>
          <w:rFonts w:ascii="Arial" w:eastAsia="Arial" w:hAnsi="Arial" w:cs="Arial"/>
        </w:rPr>
        <w:t>plicado y se explicó en el Pleno cuando se aprobaron los pliegos de esa concesión aunque nosotros proponíamos un nuevo cálculo, no está en discusión el cálculo, el cálculo se propuso en virtud de las mediciones correctas y el Ayuntamiento demostró y créame</w:t>
      </w:r>
      <w:r>
        <w:rPr>
          <w:rFonts w:ascii="Arial" w:eastAsia="Arial" w:hAnsi="Arial" w:cs="Arial"/>
        </w:rPr>
        <w:t xml:space="preserve"> que no es un asunto que está en discusión la cuestión del canon, el Ayuntamiento una vez otorgada la concesión abonará ese canon anual y dispondrá y dispondrá los contratos que sean necesarios para poner en funcionamiento la instalación. </w:t>
      </w:r>
    </w:p>
    <w:p w:rsidR="00FA7413" w:rsidRDefault="00D712A8">
      <w:pPr>
        <w:spacing w:after="0" w:line="248" w:lineRule="auto"/>
        <w:ind w:left="355" w:right="64" w:hanging="10"/>
        <w:jc w:val="both"/>
      </w:pPr>
      <w:r>
        <w:rPr>
          <w:rFonts w:ascii="Arial" w:eastAsia="Arial" w:hAnsi="Arial" w:cs="Arial"/>
        </w:rPr>
        <w:t>No hay ninguno o</w:t>
      </w:r>
      <w:r>
        <w:rPr>
          <w:rFonts w:ascii="Arial" w:eastAsia="Arial" w:hAnsi="Arial" w:cs="Arial"/>
        </w:rPr>
        <w:t xml:space="preserve">tra razón, no se estén inventando cosas porque la única razón ahora mismo, a mi si me gustaría porque no hay ninguna otra razón, espero tener la concesión, si hubiera tenido la concesión ya la piscina estaría abierta, no hay ninguna otra cuestión. </w:t>
      </w:r>
    </w:p>
    <w:p w:rsidR="00FA7413" w:rsidRDefault="00D712A8">
      <w:pPr>
        <w:spacing w:after="11" w:line="248" w:lineRule="auto"/>
        <w:ind w:left="355" w:right="64" w:hanging="10"/>
        <w:jc w:val="both"/>
      </w:pPr>
      <w:r>
        <w:rPr>
          <w:rFonts w:ascii="Arial" w:eastAsia="Arial" w:hAnsi="Arial" w:cs="Arial"/>
        </w:rPr>
        <w:t>Gracias</w:t>
      </w:r>
      <w:r>
        <w:rPr>
          <w:rFonts w:ascii="Arial" w:eastAsia="Arial" w:hAnsi="Arial" w:cs="Arial"/>
        </w:rPr>
        <w:t xml:space="preserve">, otra pregunta Don Jacobo, la última. –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2" w:hanging="10"/>
        <w:jc w:val="both"/>
      </w:pPr>
      <w:r>
        <w:rPr>
          <w:rFonts w:ascii="Arial" w:eastAsia="Arial" w:hAnsi="Arial" w:cs="Arial"/>
          <w:b/>
        </w:rPr>
        <w:t xml:space="preserve">INTERVIENE DON JACOBO LÓPEZ FARIÑA. – </w:t>
      </w:r>
    </w:p>
    <w:p w:rsidR="00FA7413" w:rsidRDefault="00D712A8">
      <w:pPr>
        <w:spacing w:after="0" w:line="248" w:lineRule="auto"/>
        <w:ind w:left="355" w:right="64" w:hanging="10"/>
        <w:jc w:val="both"/>
      </w:pPr>
      <w:r>
        <w:rPr>
          <w:rFonts w:ascii="Arial" w:eastAsia="Arial" w:hAnsi="Arial" w:cs="Arial"/>
        </w:rPr>
        <w:t>Si, vecinos de Barranco Hondo se han puesto en contacto con nosotros para saber si tiene alguna actuación prevista para garantizar la protección de la carretera que pasa por</w:t>
      </w:r>
      <w:r>
        <w:rPr>
          <w:rFonts w:ascii="Arial" w:eastAsia="Arial" w:hAnsi="Arial" w:cs="Arial"/>
        </w:rPr>
        <w:t xml:space="preserve"> el Picacho.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2" w:hanging="10"/>
        <w:jc w:val="both"/>
      </w:pPr>
      <w:r>
        <w:rPr>
          <w:rFonts w:ascii="Arial" w:eastAsia="Arial" w:hAnsi="Arial" w:cs="Arial"/>
          <w:b/>
        </w:rPr>
        <w:t xml:space="preserve">INTERVIENE LA SEÑORA ALCALDESA-PRESIDENTA. – </w:t>
      </w:r>
    </w:p>
    <w:p w:rsidR="00FA7413" w:rsidRDefault="00D712A8">
      <w:pPr>
        <w:spacing w:after="11" w:line="248" w:lineRule="auto"/>
        <w:ind w:left="355" w:right="64" w:hanging="10"/>
        <w:jc w:val="both"/>
      </w:pPr>
      <w:r>
        <w:rPr>
          <w:rFonts w:ascii="Arial" w:eastAsia="Arial" w:hAnsi="Arial" w:cs="Arial"/>
        </w:rPr>
        <w:t xml:space="preserve">Paco sabes alguna cosa. –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2" w:hanging="10"/>
        <w:jc w:val="both"/>
      </w:pPr>
      <w:r>
        <w:rPr>
          <w:rFonts w:ascii="Arial" w:eastAsia="Arial" w:hAnsi="Arial" w:cs="Arial"/>
          <w:b/>
        </w:rPr>
        <w:t xml:space="preserve">INTERVIENE DON JOSÉ FRANCISCO PINTO RAMOS. – </w:t>
      </w:r>
    </w:p>
    <w:p w:rsidR="00FA7413" w:rsidRDefault="00D712A8">
      <w:pPr>
        <w:spacing w:after="11" w:line="248" w:lineRule="auto"/>
        <w:ind w:left="355" w:right="64" w:hanging="10"/>
        <w:jc w:val="both"/>
      </w:pPr>
      <w:r>
        <w:rPr>
          <w:rFonts w:ascii="Arial" w:eastAsia="Arial" w:hAnsi="Arial" w:cs="Arial"/>
        </w:rPr>
        <w:t xml:space="preserve">Eso está en el listado de vías que se iban a asfaltar, estaba incluida, calle el Cabuco.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2" w:hanging="10"/>
        <w:jc w:val="both"/>
      </w:pPr>
      <w:r>
        <w:rPr>
          <w:rFonts w:ascii="Arial" w:eastAsia="Arial" w:hAnsi="Arial" w:cs="Arial"/>
          <w:b/>
        </w:rPr>
        <w:t xml:space="preserve">INTERVIENE LA SEÑORA ALCALDESA-PRESIDENTA. – </w:t>
      </w:r>
    </w:p>
    <w:p w:rsidR="00FA7413" w:rsidRDefault="00D712A8">
      <w:pPr>
        <w:spacing w:after="0" w:line="248" w:lineRule="auto"/>
        <w:ind w:left="355" w:right="64" w:hanging="10"/>
        <w:jc w:val="both"/>
      </w:pPr>
      <w:r>
        <w:rPr>
          <w:rFonts w:ascii="Arial" w:eastAsia="Arial" w:hAnsi="Arial" w:cs="Arial"/>
        </w:rPr>
        <w:t>Si, efectivamente hemos estado trabajando con, y se lo digo porque después dicen otra vez que gracias a ustedes se empezó hacer, nosotros dentro de la planificación de asfaltado que tenemos, que estamos program</w:t>
      </w:r>
      <w:r>
        <w:rPr>
          <w:rFonts w:ascii="Arial" w:eastAsia="Arial" w:hAnsi="Arial" w:cs="Arial"/>
        </w:rPr>
        <w:t xml:space="preserve">ando, es una de las calles que precisamente el Concejal de Relaciones Institucionales y Protocolo, pero también vecino de Barranco Hondo nos ha trasladado desde hace ya algún tiempo, la necesidad de acondicionamiento junto con el Concejal de Obras, Jorge, </w:t>
      </w:r>
      <w:r>
        <w:rPr>
          <w:rFonts w:ascii="Arial" w:eastAsia="Arial" w:hAnsi="Arial" w:cs="Arial"/>
        </w:rPr>
        <w:t xml:space="preserve">el acondicionamiento de esa zona y es una de las vías que tenemos prevista en la fase de asfaltado, poder acondicionar. Creo que allí no es solo asfalto sino también hay algún equipamiento, no lo recuerdo ahora, esa es solo asfalto, verdad, porque estamos </w:t>
      </w:r>
      <w:r>
        <w:rPr>
          <w:rFonts w:ascii="Arial" w:eastAsia="Arial" w:hAnsi="Arial" w:cs="Arial"/>
        </w:rPr>
        <w:t xml:space="preserve">viendo, hay proyectos de urbanización que no solo comprende el asfalto sino como hemos hecho en otros espacios el tema de alumbrado, acerado y demás, entonces estamos viendo qué actuaciones se llevan a cabo en cada una de las vías. </w:t>
      </w:r>
    </w:p>
    <w:p w:rsidR="00FA7413" w:rsidRDefault="00D712A8">
      <w:pPr>
        <w:spacing w:after="0" w:line="248" w:lineRule="auto"/>
        <w:ind w:left="355" w:right="64" w:hanging="10"/>
        <w:jc w:val="both"/>
      </w:pPr>
      <w:r>
        <w:rPr>
          <w:rFonts w:ascii="Arial" w:eastAsia="Arial" w:hAnsi="Arial" w:cs="Arial"/>
        </w:rPr>
        <w:t>De acuerdo, muchas grac</w:t>
      </w:r>
      <w:r>
        <w:rPr>
          <w:rFonts w:ascii="Arial" w:eastAsia="Arial" w:hAnsi="Arial" w:cs="Arial"/>
        </w:rPr>
        <w:t xml:space="preserve">ias, pues hemos concluido el apartado de Ruegos y Preguntas, terminamos también el Pleno. </w:t>
      </w:r>
    </w:p>
    <w:p w:rsidR="00FA7413" w:rsidRDefault="00D712A8">
      <w:pPr>
        <w:spacing w:after="0"/>
        <w:ind w:left="360"/>
      </w:pPr>
      <w:r>
        <w:rPr>
          <w:rFonts w:ascii="Arial" w:eastAsia="Arial" w:hAnsi="Arial" w:cs="Arial"/>
        </w:rPr>
        <w:t xml:space="preserve"> </w:t>
      </w:r>
    </w:p>
    <w:p w:rsidR="00FA7413" w:rsidRDefault="00D712A8">
      <w:pPr>
        <w:spacing w:after="11" w:line="248" w:lineRule="auto"/>
        <w:ind w:left="355" w:right="64" w:hanging="10"/>
        <w:jc w:val="both"/>
      </w:pPr>
      <w:r>
        <w:rPr>
          <w:rFonts w:ascii="Arial" w:eastAsia="Arial" w:hAnsi="Arial" w:cs="Arial"/>
        </w:rPr>
        <w:t xml:space="preserve">Muchas gracias a todos y buenas tardes. - </w:t>
      </w:r>
    </w:p>
    <w:p w:rsidR="00FA7413" w:rsidRDefault="00D712A8">
      <w:pPr>
        <w:spacing w:after="0"/>
        <w:ind w:left="360"/>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rFonts w:ascii="Arial" w:eastAsia="Arial" w:hAnsi="Arial" w:cs="Arial"/>
          <w:b/>
        </w:rPr>
        <w:t xml:space="preserve"> </w:t>
      </w:r>
    </w:p>
    <w:p w:rsidR="00FA7413" w:rsidRDefault="00D712A8">
      <w:pPr>
        <w:spacing w:after="0"/>
        <w:ind w:left="1068"/>
      </w:pPr>
      <w:r>
        <w:rPr>
          <w:noProof/>
        </w:rPr>
        <mc:AlternateContent>
          <mc:Choice Requires="wpg">
            <w:drawing>
              <wp:anchor distT="0" distB="0" distL="114300" distR="114300" simplePos="0" relativeHeight="251844608" behindDoc="0" locked="0" layoutInCell="1" allowOverlap="1">
                <wp:simplePos x="0" y="0"/>
                <wp:positionH relativeFrom="page">
                  <wp:posOffset>8664935</wp:posOffset>
                </wp:positionH>
                <wp:positionV relativeFrom="page">
                  <wp:posOffset>6811442</wp:posOffset>
                </wp:positionV>
                <wp:extent cx="161330" cy="3499942"/>
                <wp:effectExtent l="0" t="0" r="0" b="0"/>
                <wp:wrapTopAndBottom/>
                <wp:docPr id="227357" name="Group 227357"/>
                <wp:cNvGraphicFramePr/>
                <a:graphic xmlns:a="http://schemas.openxmlformats.org/drawingml/2006/main">
                  <a:graphicData uri="http://schemas.microsoft.com/office/word/2010/wordprocessingGroup">
                    <wpg:wgp>
                      <wpg:cNvGrpSpPr/>
                      <wpg:grpSpPr>
                        <a:xfrm>
                          <a:off x="0" y="0"/>
                          <a:ext cx="161330" cy="3499942"/>
                          <a:chOff x="0" y="0"/>
                          <a:chExt cx="161330" cy="3499942"/>
                        </a:xfrm>
                      </wpg:grpSpPr>
                      <wps:wsp>
                        <wps:cNvPr id="24793" name="Rectangle 24793"/>
                        <wps:cNvSpPr/>
                        <wps:spPr>
                          <a:xfrm rot="-5399999">
                            <a:off x="-2270850" y="1115868"/>
                            <a:ext cx="4654923" cy="113224"/>
                          </a:xfrm>
                          <a:prstGeom prst="rect">
                            <a:avLst/>
                          </a:prstGeom>
                          <a:ln>
                            <a:noFill/>
                          </a:ln>
                        </wps:spPr>
                        <wps:txbx>
                          <w:txbxContent>
                            <w:p w:rsidR="00FA7413" w:rsidRDefault="00D712A8">
                              <w:r>
                                <w:rPr>
                                  <w:rFonts w:ascii="Arial" w:eastAsia="Arial" w:hAnsi="Arial" w:cs="Arial"/>
                                  <w:sz w:val="12"/>
                                </w:rPr>
                                <w:t xml:space="preserve">Cód. Validación: 946JAL4TJAGYNDDM76ZM7ZAYZ | Verificación: https://candelaria.sedelectronica.es/ </w:t>
                              </w:r>
                            </w:p>
                          </w:txbxContent>
                        </wps:txbx>
                        <wps:bodyPr horzOverflow="overflow" vert="horz" lIns="0" tIns="0" rIns="0" bIns="0" rtlCol="0">
                          <a:noAutofit/>
                        </wps:bodyPr>
                      </wps:wsp>
                      <wps:wsp>
                        <wps:cNvPr id="24794" name="Rectangle 24794"/>
                        <wps:cNvSpPr/>
                        <wps:spPr>
                          <a:xfrm rot="-5399999">
                            <a:off x="-2098575" y="1211944"/>
                            <a:ext cx="4462772" cy="113224"/>
                          </a:xfrm>
                          <a:prstGeom prst="rect">
                            <a:avLst/>
                          </a:prstGeom>
                          <a:ln>
                            <a:noFill/>
                          </a:ln>
                        </wps:spPr>
                        <wps:txbx>
                          <w:txbxContent>
                            <w:p w:rsidR="00FA7413" w:rsidRDefault="00D712A8">
                              <w:r>
                                <w:rPr>
                                  <w:rFonts w:ascii="Arial" w:eastAsia="Arial" w:hAnsi="Arial" w:cs="Arial"/>
                                  <w:sz w:val="12"/>
                                </w:rPr>
                                <w:t xml:space="preserve">Documento firmado electrónicamente desde la plataforma esPublico Gestiona | Página 180 de 180 </w:t>
                              </w:r>
                            </w:p>
                          </w:txbxContent>
                        </wps:txbx>
                        <wps:bodyPr horzOverflow="overflow" vert="horz" lIns="0" tIns="0" rIns="0" bIns="0" rtlCol="0">
                          <a:noAutofit/>
                        </wps:bodyPr>
                      </wps:wsp>
                    </wpg:wgp>
                  </a:graphicData>
                </a:graphic>
              </wp:anchor>
            </w:drawing>
          </mc:Choice>
          <mc:Fallback xmlns:a="http://schemas.openxmlformats.org/drawingml/2006/main">
            <w:pict>
              <v:group id="Group 227357" style="width:12.7031pt;height:275.586pt;position:absolute;mso-position-horizontal-relative:page;mso-position-horizontal:absolute;margin-left:682.278pt;mso-position-vertical-relative:page;margin-top:536.334pt;" coordsize="1613,34999">
                <v:rect id="Rectangle 24793" style="position:absolute;width:46549;height:1132;left:-22708;top:11158;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946JAL4TJAGYNDDM76ZM7ZAYZ | Verificación: https://candelaria.sedelectronica.es/ </w:t>
                        </w:r>
                      </w:p>
                    </w:txbxContent>
                  </v:textbox>
                </v:rect>
                <v:rect id="Rectangle 24794" style="position:absolute;width:44627;height:1132;left:-20985;top:1211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180 de 180 </w:t>
                        </w:r>
                      </w:p>
                    </w:txbxContent>
                  </v:textbox>
                </v:rect>
                <w10:wrap type="topAndBottom"/>
              </v:group>
            </w:pict>
          </mc:Fallback>
        </mc:AlternateContent>
      </w:r>
      <w:r>
        <w:rPr>
          <w:rFonts w:ascii="Arial" w:eastAsia="Arial" w:hAnsi="Arial" w:cs="Arial"/>
          <w:b/>
        </w:rPr>
        <w:t xml:space="preserve"> </w:t>
      </w:r>
    </w:p>
    <w:p w:rsidR="00FA7413" w:rsidRDefault="00D712A8">
      <w:pPr>
        <w:spacing w:after="0" w:line="248" w:lineRule="auto"/>
        <w:ind w:left="355" w:right="64" w:hanging="10"/>
        <w:jc w:val="both"/>
      </w:pPr>
      <w:r>
        <w:rPr>
          <w:rFonts w:ascii="Arial" w:eastAsia="Arial" w:hAnsi="Arial" w:cs="Arial"/>
        </w:rPr>
        <w:t xml:space="preserve">Se levanta la sesión a las 12:45 horas del mismo día. De todo lo cual yo, como Secretario General, doy fe. </w:t>
      </w:r>
    </w:p>
    <w:p w:rsidR="00FA7413" w:rsidRDefault="00D712A8">
      <w:pPr>
        <w:spacing w:after="120"/>
        <w:ind w:left="360"/>
      </w:pPr>
      <w:r>
        <w:rPr>
          <w:rFonts w:ascii="Arial" w:eastAsia="Arial" w:hAnsi="Arial" w:cs="Arial"/>
          <w:b/>
        </w:rPr>
        <w:t xml:space="preserve"> </w:t>
      </w:r>
    </w:p>
    <w:p w:rsidR="00FA7413" w:rsidRDefault="00D712A8">
      <w:pPr>
        <w:tabs>
          <w:tab w:val="center" w:pos="360"/>
          <w:tab w:val="center" w:pos="1888"/>
        </w:tabs>
        <w:spacing w:after="57"/>
      </w:pPr>
      <w:r>
        <w:tab/>
      </w:r>
      <w:r>
        <w:rPr>
          <w:rFonts w:ascii="Arial" w:eastAsia="Arial" w:hAnsi="Arial" w:cs="Arial"/>
          <w:sz w:val="14"/>
        </w:rPr>
        <w:t xml:space="preserve">          </w:t>
      </w:r>
      <w:r>
        <w:rPr>
          <w:rFonts w:ascii="Arial" w:eastAsia="Arial" w:hAnsi="Arial" w:cs="Arial"/>
          <w:sz w:val="14"/>
        </w:rPr>
        <w:tab/>
        <w:t xml:space="preserve">                           </w:t>
      </w:r>
      <w:r>
        <w:rPr>
          <w:rFonts w:ascii="Arial" w:eastAsia="Arial" w:hAnsi="Arial" w:cs="Arial"/>
          <w:b/>
          <w:sz w:val="20"/>
        </w:rPr>
        <w:t>Vº. Bº.</w:t>
      </w:r>
      <w:r>
        <w:rPr>
          <w:rFonts w:ascii="Arial" w:eastAsia="Arial" w:hAnsi="Arial" w:cs="Arial"/>
          <w:sz w:val="14"/>
        </w:rPr>
        <w:t xml:space="preserve"> </w:t>
      </w:r>
    </w:p>
    <w:p w:rsidR="00FA7413" w:rsidRDefault="00D712A8">
      <w:pPr>
        <w:spacing w:after="61"/>
        <w:ind w:left="360"/>
      </w:pPr>
      <w:r>
        <w:rPr>
          <w:rFonts w:ascii="Arial" w:eastAsia="Arial" w:hAnsi="Arial" w:cs="Arial"/>
          <w:sz w:val="14"/>
        </w:rPr>
        <w:t xml:space="preserve"> </w:t>
      </w:r>
    </w:p>
    <w:p w:rsidR="00FA7413" w:rsidRDefault="00D712A8">
      <w:pPr>
        <w:tabs>
          <w:tab w:val="center" w:pos="360"/>
          <w:tab w:val="center" w:pos="2681"/>
          <w:tab w:val="center" w:pos="4609"/>
          <w:tab w:val="center" w:pos="7011"/>
        </w:tabs>
        <w:spacing w:after="284" w:line="248" w:lineRule="auto"/>
      </w:pPr>
      <w:r>
        <w:tab/>
      </w:r>
      <w:r>
        <w:rPr>
          <w:rFonts w:ascii="Arial" w:eastAsia="Arial" w:hAnsi="Arial" w:cs="Arial"/>
          <w:b/>
          <w:sz w:val="20"/>
        </w:rPr>
        <w:t xml:space="preserve"> </w:t>
      </w:r>
      <w:r>
        <w:rPr>
          <w:rFonts w:ascii="Arial" w:eastAsia="Arial" w:hAnsi="Arial" w:cs="Arial"/>
          <w:b/>
          <w:sz w:val="20"/>
        </w:rPr>
        <w:tab/>
      </w:r>
      <w:r>
        <w:rPr>
          <w:rFonts w:ascii="Arial" w:eastAsia="Arial" w:hAnsi="Arial" w:cs="Arial"/>
          <w:b/>
        </w:rPr>
        <w:t xml:space="preserve">LA ALCALDESA-PRESIDENTA, </w:t>
      </w:r>
      <w:r>
        <w:rPr>
          <w:rFonts w:ascii="Arial" w:eastAsia="Arial" w:hAnsi="Arial" w:cs="Arial"/>
          <w:b/>
        </w:rPr>
        <w:tab/>
        <w:t xml:space="preserve"> </w:t>
      </w:r>
      <w:r>
        <w:rPr>
          <w:rFonts w:ascii="Arial" w:eastAsia="Arial" w:hAnsi="Arial" w:cs="Arial"/>
          <w:b/>
        </w:rPr>
        <w:tab/>
        <w:t xml:space="preserve">       EL SECRETARIO GENERAL,</w:t>
      </w:r>
      <w:r>
        <w:rPr>
          <w:rFonts w:ascii="Arial" w:eastAsia="Arial" w:hAnsi="Arial" w:cs="Arial"/>
          <w:vertAlign w:val="subscript"/>
        </w:rPr>
        <w:t xml:space="preserve"> </w:t>
      </w:r>
    </w:p>
    <w:p w:rsidR="00FA7413" w:rsidRDefault="00D712A8">
      <w:pPr>
        <w:spacing w:after="288" w:line="248" w:lineRule="auto"/>
        <w:ind w:left="355" w:right="64" w:hanging="10"/>
        <w:jc w:val="both"/>
      </w:pPr>
      <w:r>
        <w:rPr>
          <w:rFonts w:ascii="Arial" w:eastAsia="Arial" w:hAnsi="Arial" w:cs="Arial"/>
        </w:rPr>
        <w:t xml:space="preserve">             María Concepción Brito Núñez                     Octavio Manuel Hernández Fernández  </w:t>
      </w:r>
    </w:p>
    <w:p w:rsidR="00FA7413" w:rsidRDefault="00D712A8">
      <w:pPr>
        <w:spacing w:after="0"/>
        <w:ind w:left="360"/>
      </w:pPr>
      <w:r>
        <w:rPr>
          <w:rFonts w:ascii="Arial" w:eastAsia="Arial" w:hAnsi="Arial" w:cs="Arial"/>
          <w:sz w:val="24"/>
        </w:rPr>
        <w:t xml:space="preserve"> </w:t>
      </w:r>
    </w:p>
    <w:p w:rsidR="00FA7413" w:rsidRDefault="00D712A8">
      <w:pPr>
        <w:spacing w:after="100"/>
        <w:ind w:left="346"/>
        <w:jc w:val="center"/>
      </w:pPr>
      <w:r>
        <w:rPr>
          <w:rFonts w:ascii="Arial" w:eastAsia="Arial" w:hAnsi="Arial" w:cs="Arial"/>
          <w:b/>
        </w:rPr>
        <w:t xml:space="preserve"> </w:t>
      </w:r>
    </w:p>
    <w:p w:rsidR="00FA7413" w:rsidRDefault="00D712A8">
      <w:pPr>
        <w:pStyle w:val="Ttulo2"/>
        <w:ind w:left="1013" w:right="719"/>
      </w:pPr>
      <w:r>
        <w:t>DOCUMENTO FIRMADO ELECTRÓNICAMENTE</w:t>
      </w:r>
      <w:r>
        <w:rPr>
          <w:b w:val="0"/>
        </w:rPr>
        <w:t xml:space="preserve">  </w:t>
      </w:r>
    </w:p>
    <w:p w:rsidR="00FA7413" w:rsidRDefault="00D712A8">
      <w:pPr>
        <w:spacing w:after="0"/>
        <w:ind w:left="360"/>
      </w:pPr>
      <w:r>
        <w:rPr>
          <w:rFonts w:ascii="Arial" w:eastAsia="Arial" w:hAnsi="Arial" w:cs="Arial"/>
          <w:sz w:val="24"/>
        </w:rPr>
        <w:t xml:space="preserve"> </w:t>
      </w:r>
    </w:p>
    <w:sectPr w:rsidR="00FA7413">
      <w:headerReference w:type="even" r:id="rId49"/>
      <w:headerReference w:type="default" r:id="rId50"/>
      <w:footerReference w:type="even" r:id="rId51"/>
      <w:footerReference w:type="default" r:id="rId52"/>
      <w:headerReference w:type="first" r:id="rId53"/>
      <w:footerReference w:type="first" r:id="rId54"/>
      <w:pgSz w:w="14174" w:h="16838"/>
      <w:pgMar w:top="2832" w:right="1983" w:bottom="572" w:left="2192"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D712A8">
      <w:pPr>
        <w:spacing w:after="0" w:line="240" w:lineRule="auto"/>
      </w:pPr>
      <w:r>
        <w:separator/>
      </w:r>
    </w:p>
  </w:endnote>
  <w:endnote w:type="continuationSeparator" w:id="0">
    <w:p w:rsidR="00000000" w:rsidRDefault="00D71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413" w:rsidRDefault="00D712A8">
    <w:pPr>
      <w:spacing w:after="0"/>
      <w:ind w:left="414"/>
    </w:pPr>
    <w:r>
      <w:rPr>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237718" name="Group 237718"/>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237719" name="Shape 23771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37718" style="width:459.1pt;height:1.34998pt;position:absolute;mso-position-horizontal-relative:page;mso-position-horizontal:absolute;margin-left:130.31pt;mso-position-vertical-relative:page;margin-top:783.42pt;" coordsize="58305,171">
              <v:shape id="Shape 237719"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rFonts w:ascii="Arial" w:eastAsia="Arial" w:hAnsi="Arial" w:cs="Arial"/>
        <w:sz w:val="14"/>
      </w:rPr>
      <w:t xml:space="preserve"> </w:t>
    </w:r>
  </w:p>
  <w:p w:rsidR="00FA7413" w:rsidRDefault="00D712A8">
    <w:pPr>
      <w:spacing w:after="57" w:line="238" w:lineRule="auto"/>
      <w:ind w:left="4480" w:right="1823" w:hanging="1976"/>
      <w:jc w:val="both"/>
    </w:pPr>
    <w:r>
      <w:rPr>
        <w:rFonts w:ascii="Arial" w:eastAsia="Arial" w:hAnsi="Arial" w:cs="Arial"/>
        <w:sz w:val="14"/>
      </w:rPr>
      <w:t xml:space="preserve">Avenida Constitución Nº 7. Código postal: 38530, Candelaria. Teléfono: 922.500.800. </w:t>
    </w:r>
    <w:r>
      <w:rPr>
        <w:rFonts w:ascii="Arial" w:eastAsia="Arial" w:hAnsi="Arial" w:cs="Arial"/>
        <w:b/>
        <w:sz w:val="14"/>
      </w:rPr>
      <w:t xml:space="preserve">www. candelaria. es </w:t>
    </w:r>
  </w:p>
  <w:p w:rsidR="00FA7413" w:rsidRDefault="00D712A8">
    <w:pPr>
      <w:spacing w:after="0"/>
      <w:ind w:right="72"/>
      <w:jc w:val="right"/>
    </w:pPr>
    <w:r>
      <w:fldChar w:fldCharType="begin"/>
    </w:r>
    <w:r>
      <w:instrText xml:space="preserve"> PAGE   \* MERGEFORMAT </w:instrText>
    </w:r>
    <w:r>
      <w:fldChar w:fldCharType="separate"/>
    </w:r>
    <w:r>
      <w:rPr>
        <w:rFonts w:ascii="Arial" w:eastAsia="Arial" w:hAnsi="Arial" w:cs="Arial"/>
        <w:sz w:val="14"/>
      </w:rPr>
      <w:t>2</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413" w:rsidRDefault="00D712A8">
    <w:pPr>
      <w:spacing w:after="0"/>
      <w:ind w:left="414"/>
    </w:pPr>
    <w:r>
      <w:rPr>
        <w:noProof/>
      </w:rPr>
      <mc:AlternateContent>
        <mc:Choice Requires="wpg">
          <w:drawing>
            <wp:anchor distT="0" distB="0" distL="114300" distR="114300" simplePos="0" relativeHeight="25166438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237684" name="Group 237684"/>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237685" name="Shape 237685"/>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37684" style="width:459.1pt;height:1.34998pt;position:absolute;mso-position-horizontal-relative:page;mso-position-horizontal:absolute;margin-left:130.31pt;mso-position-vertical-relative:page;margin-top:783.42pt;" coordsize="58305,171">
              <v:shape id="Shape 237685"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rFonts w:ascii="Arial" w:eastAsia="Arial" w:hAnsi="Arial" w:cs="Arial"/>
        <w:sz w:val="14"/>
      </w:rPr>
      <w:t xml:space="preserve"> </w:t>
    </w:r>
  </w:p>
  <w:p w:rsidR="00FA7413" w:rsidRDefault="00D712A8">
    <w:pPr>
      <w:spacing w:after="57" w:line="238" w:lineRule="auto"/>
      <w:ind w:left="4480" w:right="1823" w:hanging="1976"/>
      <w:jc w:val="both"/>
    </w:pPr>
    <w:r>
      <w:rPr>
        <w:rFonts w:ascii="Arial" w:eastAsia="Arial" w:hAnsi="Arial" w:cs="Arial"/>
        <w:sz w:val="14"/>
      </w:rPr>
      <w:t xml:space="preserve">Avenida Constitución Nº 7. Código postal: 38530, Candelaria. Teléfono: 922.500.800. </w:t>
    </w:r>
    <w:r>
      <w:rPr>
        <w:rFonts w:ascii="Arial" w:eastAsia="Arial" w:hAnsi="Arial" w:cs="Arial"/>
        <w:b/>
        <w:sz w:val="14"/>
      </w:rPr>
      <w:t xml:space="preserve">www. candelaria. es </w:t>
    </w:r>
  </w:p>
  <w:p w:rsidR="00FA7413" w:rsidRDefault="00D712A8">
    <w:pPr>
      <w:spacing w:after="0"/>
      <w:ind w:right="72"/>
      <w:jc w:val="right"/>
    </w:pPr>
    <w:r>
      <w:fldChar w:fldCharType="begin"/>
    </w:r>
    <w:r>
      <w:instrText xml:space="preserve"> PAGE   \* MERGEFORMAT </w:instrText>
    </w:r>
    <w:r>
      <w:fldChar w:fldCharType="separate"/>
    </w:r>
    <w:r w:rsidRPr="00D712A8">
      <w:rPr>
        <w:rFonts w:ascii="Arial" w:eastAsia="Arial" w:hAnsi="Arial" w:cs="Arial"/>
        <w:noProof/>
        <w:sz w:val="14"/>
      </w:rPr>
      <w:t>104</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413" w:rsidRDefault="00FA741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D712A8">
      <w:pPr>
        <w:spacing w:after="0" w:line="240" w:lineRule="auto"/>
      </w:pPr>
      <w:r>
        <w:separator/>
      </w:r>
    </w:p>
  </w:footnote>
  <w:footnote w:type="continuationSeparator" w:id="0">
    <w:p w:rsidR="00000000" w:rsidRDefault="00D712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413" w:rsidRDefault="00D712A8">
    <w:pPr>
      <w:spacing w:after="0"/>
      <w:ind w:left="360"/>
    </w:pPr>
    <w:r>
      <w:rPr>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237703" name="Group 237703"/>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237704" name="Shape 237704"/>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237706" name="Rectangle 237706"/>
                      <wps:cNvSpPr/>
                      <wps:spPr>
                        <a:xfrm>
                          <a:off x="1137158" y="0"/>
                          <a:ext cx="50673" cy="224380"/>
                        </a:xfrm>
                        <a:prstGeom prst="rect">
                          <a:avLst/>
                        </a:prstGeom>
                        <a:ln>
                          <a:noFill/>
                        </a:ln>
                      </wps:spPr>
                      <wps:txbx>
                        <w:txbxContent>
                          <w:p w:rsidR="00FA7413" w:rsidRDefault="00D712A8">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7707" name="Rectangle 237707"/>
                      <wps:cNvSpPr/>
                      <wps:spPr>
                        <a:xfrm>
                          <a:off x="495554" y="175260"/>
                          <a:ext cx="50673" cy="224380"/>
                        </a:xfrm>
                        <a:prstGeom prst="rect">
                          <a:avLst/>
                        </a:prstGeom>
                        <a:ln>
                          <a:noFill/>
                        </a:ln>
                      </wps:spPr>
                      <wps:txbx>
                        <w:txbxContent>
                          <w:p w:rsidR="00FA7413" w:rsidRDefault="00D712A8">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7708" name="Rectangle 237708"/>
                      <wps:cNvSpPr/>
                      <wps:spPr>
                        <a:xfrm>
                          <a:off x="495554" y="350520"/>
                          <a:ext cx="50673" cy="224380"/>
                        </a:xfrm>
                        <a:prstGeom prst="rect">
                          <a:avLst/>
                        </a:prstGeom>
                        <a:ln>
                          <a:noFill/>
                        </a:ln>
                      </wps:spPr>
                      <wps:txbx>
                        <w:txbxContent>
                          <w:p w:rsidR="00FA7413" w:rsidRDefault="00D712A8">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7709" name="Rectangle 237709"/>
                      <wps:cNvSpPr/>
                      <wps:spPr>
                        <a:xfrm>
                          <a:off x="495554" y="526034"/>
                          <a:ext cx="50673" cy="224380"/>
                        </a:xfrm>
                        <a:prstGeom prst="rect">
                          <a:avLst/>
                        </a:prstGeom>
                        <a:ln>
                          <a:noFill/>
                        </a:ln>
                      </wps:spPr>
                      <wps:txbx>
                        <w:txbxContent>
                          <w:p w:rsidR="00FA7413" w:rsidRDefault="00D712A8">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37705" name="Picture 237705"/>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237703" style="width:472.41pt;height:64.392pt;position:absolute;mso-position-horizontal-relative:page;mso-position-horizontal:absolute;margin-left:130.25pt;mso-position-vertical-relative:page;margin-top:34.668pt;" coordsize="59996,8177">
              <v:shape id="Shape 237704" style="position:absolute;width:59988;height:0;left:7;top:8177;" coordsize="5998845,0" path="m0,0l5998845,0">
                <v:stroke weight="2.04pt" endcap="square" joinstyle="miter" miterlimit="10" on="true" color="#993366"/>
                <v:fill on="false" color="#000000" opacity="0"/>
              </v:shape>
              <v:rect id="Rectangle 237706" style="position:absolute;width:506;height:2243;left:11371;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37707" style="position:absolute;width:506;height:2243;left:4955;top:17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37708" style="position:absolute;width:506;height:2243;left:4955;top:350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37709" style="position:absolute;width:506;height:2243;left:4955;top:526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237705" style="position:absolute;width:3992;height:5699;left:0;top:565;" filled="f">
                <v:imagedata r:id="rId41"/>
              </v:shape>
              <w10:wrap type="square"/>
            </v:group>
          </w:pict>
        </mc:Fallback>
      </mc:AlternateContent>
    </w:r>
    <w:r>
      <w:rPr>
        <w:rFonts w:ascii="Times New Roman" w:eastAsia="Times New Roman" w:hAnsi="Times New Roman" w:cs="Times New Roman"/>
        <w:sz w:val="24"/>
      </w:rPr>
      <w:t xml:space="preserve"> </w:t>
    </w:r>
  </w:p>
  <w:p w:rsidR="00FA7413" w:rsidRDefault="00D712A8">
    <w:r>
      <w:rPr>
        <w:noProof/>
      </w:rPr>
      <mc:AlternateContent>
        <mc:Choice Requires="wpg">
          <w:drawing>
            <wp:anchor distT="0" distB="0" distL="114300" distR="114300" simplePos="0" relativeHeight="251659264"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237710" name="Group 237710"/>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237711" name="Picture 237711"/>
                        <pic:cNvPicPr/>
                      </pic:nvPicPr>
                      <pic:blipFill>
                        <a:blip r:embed="rId42"/>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237710" style="width:28pt;height:310pt;position:absolute;z-index:-2147483648;mso-position-horizontal-relative:page;mso-position-horizontal:absolute;margin-left:653.71pt;mso-position-vertical-relative:page;margin-top:501.92pt;" coordsize="3556,39370">
              <v:shape id="Picture 237711" style="position:absolute;width:39369;height:3556;left:-17906;top:17906;rotation:-89;" filled="f">
                <v:imagedata r:id="rId40"/>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413" w:rsidRDefault="00D712A8">
    <w:pPr>
      <w:spacing w:after="0"/>
      <w:ind w:left="360"/>
    </w:pPr>
    <w:r>
      <w:rPr>
        <w:noProof/>
      </w:rPr>
      <mc:AlternateContent>
        <mc:Choice Requires="wpg">
          <w:drawing>
            <wp:anchor distT="0" distB="0" distL="114300" distR="114300" simplePos="0" relativeHeight="251660288"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237669" name="Group 237669"/>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237670" name="Shape 237670"/>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237672" name="Rectangle 237672"/>
                      <wps:cNvSpPr/>
                      <wps:spPr>
                        <a:xfrm>
                          <a:off x="1137158" y="0"/>
                          <a:ext cx="50673" cy="224380"/>
                        </a:xfrm>
                        <a:prstGeom prst="rect">
                          <a:avLst/>
                        </a:prstGeom>
                        <a:ln>
                          <a:noFill/>
                        </a:ln>
                      </wps:spPr>
                      <wps:txbx>
                        <w:txbxContent>
                          <w:p w:rsidR="00FA7413" w:rsidRDefault="00D712A8">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7673" name="Rectangle 237673"/>
                      <wps:cNvSpPr/>
                      <wps:spPr>
                        <a:xfrm>
                          <a:off x="495554" y="175260"/>
                          <a:ext cx="50673" cy="224380"/>
                        </a:xfrm>
                        <a:prstGeom prst="rect">
                          <a:avLst/>
                        </a:prstGeom>
                        <a:ln>
                          <a:noFill/>
                        </a:ln>
                      </wps:spPr>
                      <wps:txbx>
                        <w:txbxContent>
                          <w:p w:rsidR="00FA7413" w:rsidRDefault="00D712A8">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7674" name="Rectangle 237674"/>
                      <wps:cNvSpPr/>
                      <wps:spPr>
                        <a:xfrm>
                          <a:off x="495554" y="350520"/>
                          <a:ext cx="50673" cy="224380"/>
                        </a:xfrm>
                        <a:prstGeom prst="rect">
                          <a:avLst/>
                        </a:prstGeom>
                        <a:ln>
                          <a:noFill/>
                        </a:ln>
                      </wps:spPr>
                      <wps:txbx>
                        <w:txbxContent>
                          <w:p w:rsidR="00FA7413" w:rsidRDefault="00D712A8">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7675" name="Rectangle 237675"/>
                      <wps:cNvSpPr/>
                      <wps:spPr>
                        <a:xfrm>
                          <a:off x="495554" y="526034"/>
                          <a:ext cx="50673" cy="224380"/>
                        </a:xfrm>
                        <a:prstGeom prst="rect">
                          <a:avLst/>
                        </a:prstGeom>
                        <a:ln>
                          <a:noFill/>
                        </a:ln>
                      </wps:spPr>
                      <wps:txbx>
                        <w:txbxContent>
                          <w:p w:rsidR="00FA7413" w:rsidRDefault="00D712A8">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37671" name="Picture 237671"/>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237669" style="width:472.41pt;height:64.392pt;position:absolute;mso-position-horizontal-relative:page;mso-position-horizontal:absolute;margin-left:130.25pt;mso-position-vertical-relative:page;margin-top:34.668pt;" coordsize="59996,8177">
              <v:shape id="Shape 237670" style="position:absolute;width:59988;height:0;left:7;top:8177;" coordsize="5998845,0" path="m0,0l5998845,0">
                <v:stroke weight="2.04pt" endcap="square" joinstyle="miter" miterlimit="10" on="true" color="#993366"/>
                <v:fill on="false" color="#000000" opacity="0"/>
              </v:shape>
              <v:rect id="Rectangle 237672" style="position:absolute;width:506;height:2243;left:11371;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37673" style="position:absolute;width:506;height:2243;left:4955;top:17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37674" style="position:absolute;width:506;height:2243;left:4955;top:350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37675" style="position:absolute;width:506;height:2243;left:4955;top:526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237671" style="position:absolute;width:3992;height:5699;left:0;top:565;" filled="f">
                <v:imagedata r:id="rId41"/>
              </v:shape>
              <w10:wrap type="square"/>
            </v:group>
          </w:pict>
        </mc:Fallback>
      </mc:AlternateContent>
    </w:r>
    <w:r>
      <w:rPr>
        <w:rFonts w:ascii="Times New Roman" w:eastAsia="Times New Roman" w:hAnsi="Times New Roman" w:cs="Times New Roman"/>
        <w:sz w:val="24"/>
      </w:rPr>
      <w:t xml:space="preserve"> </w:t>
    </w:r>
  </w:p>
  <w:p w:rsidR="00FA7413" w:rsidRDefault="00D712A8">
    <w:r>
      <w:rPr>
        <w:noProof/>
      </w:rPr>
      <mc:AlternateContent>
        <mc:Choice Requires="wpg">
          <w:drawing>
            <wp:anchor distT="0" distB="0" distL="114300" distR="114300" simplePos="0" relativeHeight="251661312"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237676" name="Group 237676"/>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237677" name="Picture 237677"/>
                        <pic:cNvPicPr/>
                      </pic:nvPicPr>
                      <pic:blipFill>
                        <a:blip r:embed="rId42"/>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237676" style="width:28pt;height:310pt;position:absolute;z-index:-2147483648;mso-position-horizontal-relative:page;mso-position-horizontal:absolute;margin-left:653.71pt;mso-position-vertical-relative:page;margin-top:501.92pt;" coordsize="3556,39370">
              <v:shape id="Picture 237677" style="position:absolute;width:39369;height:3556;left:-17906;top:17906;rotation:-89;" filled="f">
                <v:imagedata r:id="rId40"/>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413" w:rsidRDefault="00D712A8">
    <w:r>
      <w:rPr>
        <w:noProof/>
      </w:rPr>
      <mc:AlternateContent>
        <mc:Choice Requires="wpg">
          <w:drawing>
            <wp:anchor distT="0" distB="0" distL="114300" distR="114300" simplePos="0" relativeHeight="251662336"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237660" name="Group 237660"/>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237661" name="Picture 237661"/>
                        <pic:cNvPicPr/>
                      </pic:nvPicPr>
                      <pic:blipFill>
                        <a:blip r:embed="rId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237660" style="width:28pt;height:310pt;position:absolute;z-index:-2147483648;mso-position-horizontal-relative:page;mso-position-horizontal:absolute;margin-left:653.71pt;mso-position-vertical-relative:page;margin-top:501.92pt;" coordsize="3556,39370">
              <v:shape id="Picture 237661" style="position:absolute;width:39369;height:3556;left:-17906;top:17906;rotation:-89;" filled="f">
                <v:imagedata r:id="rId40"/>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D0460"/>
    <w:multiLevelType w:val="hybridMultilevel"/>
    <w:tmpl w:val="2BC6C9A4"/>
    <w:lvl w:ilvl="0" w:tplc="55CE507E">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FEBE6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CB812C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91E35B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98437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244C5C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4A82CF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92800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B2A6E1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22293D"/>
    <w:multiLevelType w:val="hybridMultilevel"/>
    <w:tmpl w:val="97A890C4"/>
    <w:lvl w:ilvl="0" w:tplc="325C39F8">
      <w:start w:val="3"/>
      <w:numFmt w:val="lowerLetter"/>
      <w:lvlText w:val="%1)"/>
      <w:lvlJc w:val="left"/>
      <w:pPr>
        <w:ind w:left="17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320C5254">
      <w:start w:val="1"/>
      <w:numFmt w:val="lowerLetter"/>
      <w:lvlText w:val="%2"/>
      <w:lvlJc w:val="left"/>
      <w:pPr>
        <w:ind w:left="1614"/>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E608647C">
      <w:start w:val="1"/>
      <w:numFmt w:val="lowerRoman"/>
      <w:lvlText w:val="%3"/>
      <w:lvlJc w:val="left"/>
      <w:pPr>
        <w:ind w:left="2334"/>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48042364">
      <w:start w:val="1"/>
      <w:numFmt w:val="decimal"/>
      <w:lvlText w:val="%4"/>
      <w:lvlJc w:val="left"/>
      <w:pPr>
        <w:ind w:left="3054"/>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1EC48CD0">
      <w:start w:val="1"/>
      <w:numFmt w:val="lowerLetter"/>
      <w:lvlText w:val="%5"/>
      <w:lvlJc w:val="left"/>
      <w:pPr>
        <w:ind w:left="3774"/>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A524FBC2">
      <w:start w:val="1"/>
      <w:numFmt w:val="lowerRoman"/>
      <w:lvlText w:val="%6"/>
      <w:lvlJc w:val="left"/>
      <w:pPr>
        <w:ind w:left="4494"/>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EE1650D6">
      <w:start w:val="1"/>
      <w:numFmt w:val="decimal"/>
      <w:lvlText w:val="%7"/>
      <w:lvlJc w:val="left"/>
      <w:pPr>
        <w:ind w:left="5214"/>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A41654C8">
      <w:start w:val="1"/>
      <w:numFmt w:val="lowerLetter"/>
      <w:lvlText w:val="%8"/>
      <w:lvlJc w:val="left"/>
      <w:pPr>
        <w:ind w:left="5934"/>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0FEAF416">
      <w:start w:val="1"/>
      <w:numFmt w:val="lowerRoman"/>
      <w:lvlText w:val="%9"/>
      <w:lvlJc w:val="left"/>
      <w:pPr>
        <w:ind w:left="6654"/>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12F1191"/>
    <w:multiLevelType w:val="hybridMultilevel"/>
    <w:tmpl w:val="5A68B35A"/>
    <w:lvl w:ilvl="0" w:tplc="3510383E">
      <w:start w:val="3"/>
      <w:numFmt w:val="lowerLetter"/>
      <w:lvlText w:val="%1)"/>
      <w:lvlJc w:val="left"/>
      <w:pPr>
        <w:ind w:left="17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B28EE96">
      <w:start w:val="1"/>
      <w:numFmt w:val="lowerLetter"/>
      <w:lvlText w:val="%2"/>
      <w:lvlJc w:val="left"/>
      <w:pPr>
        <w:ind w:left="16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9A1ED530">
      <w:start w:val="1"/>
      <w:numFmt w:val="lowerRoman"/>
      <w:lvlText w:val="%3"/>
      <w:lvlJc w:val="left"/>
      <w:pPr>
        <w:ind w:left="233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1324420">
      <w:start w:val="1"/>
      <w:numFmt w:val="decimal"/>
      <w:lvlText w:val="%4"/>
      <w:lvlJc w:val="left"/>
      <w:pPr>
        <w:ind w:left="305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0142F26">
      <w:start w:val="1"/>
      <w:numFmt w:val="lowerLetter"/>
      <w:lvlText w:val="%5"/>
      <w:lvlJc w:val="left"/>
      <w:pPr>
        <w:ind w:left="377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A46FC0C">
      <w:start w:val="1"/>
      <w:numFmt w:val="lowerRoman"/>
      <w:lvlText w:val="%6"/>
      <w:lvlJc w:val="left"/>
      <w:pPr>
        <w:ind w:left="449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251617DA">
      <w:start w:val="1"/>
      <w:numFmt w:val="decimal"/>
      <w:lvlText w:val="%7"/>
      <w:lvlJc w:val="left"/>
      <w:pPr>
        <w:ind w:left="52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0727796">
      <w:start w:val="1"/>
      <w:numFmt w:val="lowerLetter"/>
      <w:lvlText w:val="%8"/>
      <w:lvlJc w:val="left"/>
      <w:pPr>
        <w:ind w:left="593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2DE933E">
      <w:start w:val="1"/>
      <w:numFmt w:val="lowerRoman"/>
      <w:lvlText w:val="%9"/>
      <w:lvlJc w:val="left"/>
      <w:pPr>
        <w:ind w:left="665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2D95CE0"/>
    <w:multiLevelType w:val="hybridMultilevel"/>
    <w:tmpl w:val="84A65662"/>
    <w:lvl w:ilvl="0" w:tplc="4796DB92">
      <w:start w:val="1"/>
      <w:numFmt w:val="bullet"/>
      <w:lvlText w:val="-"/>
      <w:lvlJc w:val="left"/>
      <w:pPr>
        <w:ind w:left="1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580BD0">
      <w:start w:val="1"/>
      <w:numFmt w:val="bullet"/>
      <w:lvlText w:val="o"/>
      <w:lvlJc w:val="left"/>
      <w:pPr>
        <w:ind w:left="14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F5E83B6">
      <w:start w:val="1"/>
      <w:numFmt w:val="bullet"/>
      <w:lvlText w:val="▪"/>
      <w:lvlJc w:val="left"/>
      <w:pPr>
        <w:ind w:left="21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8BE37EC">
      <w:start w:val="1"/>
      <w:numFmt w:val="bullet"/>
      <w:lvlText w:val="•"/>
      <w:lvlJc w:val="left"/>
      <w:pPr>
        <w:ind w:left="29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CE62E4">
      <w:start w:val="1"/>
      <w:numFmt w:val="bullet"/>
      <w:lvlText w:val="o"/>
      <w:lvlJc w:val="left"/>
      <w:pPr>
        <w:ind w:left="36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F66536C">
      <w:start w:val="1"/>
      <w:numFmt w:val="bullet"/>
      <w:lvlText w:val="▪"/>
      <w:lvlJc w:val="left"/>
      <w:pPr>
        <w:ind w:left="43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4CAD2A8">
      <w:start w:val="1"/>
      <w:numFmt w:val="bullet"/>
      <w:lvlText w:val="•"/>
      <w:lvlJc w:val="left"/>
      <w:pPr>
        <w:ind w:left="50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D65332">
      <w:start w:val="1"/>
      <w:numFmt w:val="bullet"/>
      <w:lvlText w:val="o"/>
      <w:lvlJc w:val="left"/>
      <w:pPr>
        <w:ind w:left="5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6E6E4E">
      <w:start w:val="1"/>
      <w:numFmt w:val="bullet"/>
      <w:lvlText w:val="▪"/>
      <w:lvlJc w:val="left"/>
      <w:pPr>
        <w:ind w:left="65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61A3CE4"/>
    <w:multiLevelType w:val="hybridMultilevel"/>
    <w:tmpl w:val="7AC2DCC6"/>
    <w:lvl w:ilvl="0" w:tplc="4614E10A">
      <w:start w:val="1"/>
      <w:numFmt w:val="decimal"/>
      <w:lvlText w:val="%1."/>
      <w:lvlJc w:val="left"/>
      <w:pPr>
        <w:ind w:left="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7652C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09E9F0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2E26AB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3A5D9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C269DB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6F2E91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EC267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608A6E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469355C"/>
    <w:multiLevelType w:val="hybridMultilevel"/>
    <w:tmpl w:val="88C69726"/>
    <w:lvl w:ilvl="0" w:tplc="3424CD1A">
      <w:start w:val="1"/>
      <w:numFmt w:val="decimal"/>
      <w:lvlText w:val="%1."/>
      <w:lvlJc w:val="left"/>
      <w:pPr>
        <w:ind w:left="59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ED708D9C">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2CCE39FA">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9E52571A">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D4F2D6AE">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7BF4C5C2">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35DE003C">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5B60C6A6">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451EE8F4">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5231539"/>
    <w:multiLevelType w:val="hybridMultilevel"/>
    <w:tmpl w:val="B5E0CE90"/>
    <w:lvl w:ilvl="0" w:tplc="F08816A4">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474E812">
      <w:start w:val="1"/>
      <w:numFmt w:val="bullet"/>
      <w:lvlText w:val="o"/>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CA43EE0">
      <w:start w:val="1"/>
      <w:numFmt w:val="bullet"/>
      <w:lvlText w:val="▪"/>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4EC26F6">
      <w:start w:val="1"/>
      <w:numFmt w:val="bullet"/>
      <w:lvlText w:val="•"/>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30C307C">
      <w:start w:val="1"/>
      <w:numFmt w:val="bullet"/>
      <w:lvlText w:val="o"/>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93849D4">
      <w:start w:val="1"/>
      <w:numFmt w:val="bullet"/>
      <w:lvlText w:val="▪"/>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17C79F4">
      <w:start w:val="1"/>
      <w:numFmt w:val="bullet"/>
      <w:lvlText w:val="•"/>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B340BB4">
      <w:start w:val="1"/>
      <w:numFmt w:val="bullet"/>
      <w:lvlText w:val="o"/>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828E332">
      <w:start w:val="1"/>
      <w:numFmt w:val="bullet"/>
      <w:lvlText w:val="▪"/>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AB714E5"/>
    <w:multiLevelType w:val="hybridMultilevel"/>
    <w:tmpl w:val="A4641BD0"/>
    <w:lvl w:ilvl="0" w:tplc="84588FF8">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D8092A">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AD2389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1D4166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D298B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7CC0EA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C341AE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FA19A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FC878F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3832092"/>
    <w:multiLevelType w:val="hybridMultilevel"/>
    <w:tmpl w:val="817CDD20"/>
    <w:lvl w:ilvl="0" w:tplc="C9D6CBBE">
      <w:start w:val="2"/>
      <w:numFmt w:val="lowerLetter"/>
      <w:lvlText w:val="%1)"/>
      <w:lvlJc w:val="left"/>
      <w:pPr>
        <w:ind w:left="53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C9EC838">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9A54F010">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AD08B4C">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B4A5B6E">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C627626">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1A40DE4">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0482152">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4B868F6">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3C57110"/>
    <w:multiLevelType w:val="hybridMultilevel"/>
    <w:tmpl w:val="654460B0"/>
    <w:lvl w:ilvl="0" w:tplc="97004F52">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FC94C0">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534BC5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37489E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2494A8">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99E04D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99485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068F40">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602FBF4">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54B686E"/>
    <w:multiLevelType w:val="hybridMultilevel"/>
    <w:tmpl w:val="1696E35C"/>
    <w:lvl w:ilvl="0" w:tplc="E34A4D96">
      <w:start w:val="2"/>
      <w:numFmt w:val="decimal"/>
      <w:lvlText w:val="%1"/>
      <w:lvlJc w:val="left"/>
      <w:pPr>
        <w:ind w:left="3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9BC8AF0">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DD0AFF2">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C24D606">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94D228">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932B4D0">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A3A9288">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7CB38E">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5D6DF44">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6677CF9"/>
    <w:multiLevelType w:val="hybridMultilevel"/>
    <w:tmpl w:val="46549864"/>
    <w:lvl w:ilvl="0" w:tplc="D63A1D50">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5D6A5A6">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268F21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40C741E">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DC4BF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614CB7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4F81726">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1724A4E">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842EA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9E73BEB"/>
    <w:multiLevelType w:val="hybridMultilevel"/>
    <w:tmpl w:val="AE20A5AA"/>
    <w:lvl w:ilvl="0" w:tplc="DA72BF96">
      <w:start w:val="1"/>
      <w:numFmt w:val="decimal"/>
      <w:lvlText w:val="%1"/>
      <w:lvlJc w:val="left"/>
      <w:pPr>
        <w:ind w:left="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E26F3E">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6D41B1A">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DD4967A">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969D1E">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6487A">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FF0BBC2">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78F4F8">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E1234FA">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C1F5F77"/>
    <w:multiLevelType w:val="hybridMultilevel"/>
    <w:tmpl w:val="347615F6"/>
    <w:lvl w:ilvl="0" w:tplc="D968FEB4">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1C0B2E">
      <w:start w:val="1"/>
      <w:numFmt w:val="lowerLetter"/>
      <w:lvlText w:val="%2"/>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82CD1C">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6446BA">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320E4C">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B473B8">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CED7BC">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10AFFE">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0A8DE8">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D124942"/>
    <w:multiLevelType w:val="hybridMultilevel"/>
    <w:tmpl w:val="4EA09E88"/>
    <w:lvl w:ilvl="0" w:tplc="5F583CBA">
      <w:start w:val="2"/>
      <w:numFmt w:val="decimal"/>
      <w:lvlText w:val="%1."/>
      <w:lvlJc w:val="left"/>
      <w:pPr>
        <w:ind w:left="34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BD2991A">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05F03D4C">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496E088">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4F4F794">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3340C48">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29C5A92">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1AB85DAC">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2E30540C">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0FE2B4B"/>
    <w:multiLevelType w:val="hybridMultilevel"/>
    <w:tmpl w:val="4702A484"/>
    <w:lvl w:ilvl="0" w:tplc="E46C9886">
      <w:start w:val="1"/>
      <w:numFmt w:val="bullet"/>
      <w:lvlText w:val="-"/>
      <w:lvlJc w:val="left"/>
      <w:pPr>
        <w:ind w:left="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9E8D1A8">
      <w:start w:val="1"/>
      <w:numFmt w:val="bullet"/>
      <w:lvlText w:val="o"/>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D7CE5F0">
      <w:start w:val="1"/>
      <w:numFmt w:val="bullet"/>
      <w:lvlText w:val="▪"/>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1C248C">
      <w:start w:val="1"/>
      <w:numFmt w:val="bullet"/>
      <w:lvlText w:val="•"/>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EEC6062">
      <w:start w:val="1"/>
      <w:numFmt w:val="bullet"/>
      <w:lvlText w:val="o"/>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6A6E682">
      <w:start w:val="1"/>
      <w:numFmt w:val="bullet"/>
      <w:lvlText w:val="▪"/>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09EFD20">
      <w:start w:val="1"/>
      <w:numFmt w:val="bullet"/>
      <w:lvlText w:val="•"/>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580742A">
      <w:start w:val="1"/>
      <w:numFmt w:val="bullet"/>
      <w:lvlText w:val="o"/>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956169E">
      <w:start w:val="1"/>
      <w:numFmt w:val="bullet"/>
      <w:lvlText w:val="▪"/>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194332B"/>
    <w:multiLevelType w:val="hybridMultilevel"/>
    <w:tmpl w:val="7B68CEBA"/>
    <w:lvl w:ilvl="0" w:tplc="434ACB1C">
      <w:start w:val="2"/>
      <w:numFmt w:val="decimal"/>
      <w:lvlText w:val="%1"/>
      <w:lvlJc w:val="left"/>
      <w:pPr>
        <w:ind w:left="3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BA2E7C">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714F026">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B76F912">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C3043DE">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7E8A30A">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3DEAE4E">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9A5942">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DE2D9F6">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2C918D2"/>
    <w:multiLevelType w:val="hybridMultilevel"/>
    <w:tmpl w:val="BF88624E"/>
    <w:lvl w:ilvl="0" w:tplc="DA72DE80">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10D6C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20EBA5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724AE2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3E1E2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05A775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4E2A9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D28F5F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FA5E0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3A87D95"/>
    <w:multiLevelType w:val="hybridMultilevel"/>
    <w:tmpl w:val="16D43114"/>
    <w:lvl w:ilvl="0" w:tplc="167E4456">
      <w:start w:val="7"/>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16DC2A">
      <w:start w:val="1"/>
      <w:numFmt w:val="lowerLetter"/>
      <w:lvlText w:val="%2"/>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62CA76">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A0067A">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046708">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907598">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8CF6BE">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42549E">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DC8E70">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49D35B1"/>
    <w:multiLevelType w:val="hybridMultilevel"/>
    <w:tmpl w:val="23A61BD0"/>
    <w:lvl w:ilvl="0" w:tplc="66962328">
      <w:start w:val="2"/>
      <w:numFmt w:val="decimal"/>
      <w:lvlText w:val="%1."/>
      <w:lvlJc w:val="left"/>
      <w:pPr>
        <w:ind w:left="34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7980B54">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B4E7C3E">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BE48E9C">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0D6B0D2">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E6C8056">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0D2B046">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40EFB64">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53469CE">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B817F79"/>
    <w:multiLevelType w:val="hybridMultilevel"/>
    <w:tmpl w:val="4344F684"/>
    <w:lvl w:ilvl="0" w:tplc="CE6A3E6A">
      <w:start w:val="2"/>
      <w:numFmt w:val="decimal"/>
      <w:lvlText w:val="%1."/>
      <w:lvlJc w:val="left"/>
      <w:pPr>
        <w:ind w:left="34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770EDC8">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DAB04AD8">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B03688A8">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A6E33F0">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6666476">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8E7E12E6">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4001A5C">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ADDA11F0">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CD27F83"/>
    <w:multiLevelType w:val="hybridMultilevel"/>
    <w:tmpl w:val="35624FA4"/>
    <w:lvl w:ilvl="0" w:tplc="BBA8C3B8">
      <w:start w:val="4"/>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A06848">
      <w:start w:val="1"/>
      <w:numFmt w:val="lowerLetter"/>
      <w:lvlText w:val="%2"/>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989A1A">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2A3286">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7CB23C">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1E67A0">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64D0B4">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5C1758">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540154">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0886892"/>
    <w:multiLevelType w:val="hybridMultilevel"/>
    <w:tmpl w:val="E918CB78"/>
    <w:lvl w:ilvl="0" w:tplc="4A645034">
      <w:start w:val="2"/>
      <w:numFmt w:val="lowerLetter"/>
      <w:lvlText w:val="%1)"/>
      <w:lvlJc w:val="left"/>
      <w:pPr>
        <w:ind w:left="53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69A8F6C">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B00014E">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BE848FC">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0CE7CB4">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C2E7494">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E2C2CCE2">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2A666FA">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B5EE35C">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2254B47"/>
    <w:multiLevelType w:val="hybridMultilevel"/>
    <w:tmpl w:val="5A9C7AB2"/>
    <w:lvl w:ilvl="0" w:tplc="96524F12">
      <w:start w:val="1"/>
      <w:numFmt w:val="decimal"/>
      <w:lvlText w:val="%1"/>
      <w:lvlJc w:val="left"/>
      <w:pPr>
        <w:ind w:left="3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2030B4">
      <w:start w:val="1"/>
      <w:numFmt w:val="lowerLetter"/>
      <w:lvlText w:val="%2"/>
      <w:lvlJc w:val="left"/>
      <w:pPr>
        <w:ind w:left="15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AB06C58">
      <w:start w:val="1"/>
      <w:numFmt w:val="lowerRoman"/>
      <w:lvlText w:val="%3"/>
      <w:lvlJc w:val="left"/>
      <w:pPr>
        <w:ind w:left="22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C7E4A92">
      <w:start w:val="1"/>
      <w:numFmt w:val="decimal"/>
      <w:lvlText w:val="%4"/>
      <w:lvlJc w:val="left"/>
      <w:pPr>
        <w:ind w:left="29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B5A87A6">
      <w:start w:val="1"/>
      <w:numFmt w:val="lowerLetter"/>
      <w:lvlText w:val="%5"/>
      <w:lvlJc w:val="left"/>
      <w:pPr>
        <w:ind w:left="37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588C77C">
      <w:start w:val="1"/>
      <w:numFmt w:val="lowerRoman"/>
      <w:lvlText w:val="%6"/>
      <w:lvlJc w:val="left"/>
      <w:pPr>
        <w:ind w:left="4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284B94A">
      <w:start w:val="1"/>
      <w:numFmt w:val="decimal"/>
      <w:lvlText w:val="%7"/>
      <w:lvlJc w:val="left"/>
      <w:pPr>
        <w:ind w:left="51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8A5924">
      <w:start w:val="1"/>
      <w:numFmt w:val="lowerLetter"/>
      <w:lvlText w:val="%8"/>
      <w:lvlJc w:val="left"/>
      <w:pPr>
        <w:ind w:left="58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3F036EA">
      <w:start w:val="1"/>
      <w:numFmt w:val="lowerRoman"/>
      <w:lvlText w:val="%9"/>
      <w:lvlJc w:val="left"/>
      <w:pPr>
        <w:ind w:left="65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48B4FA5"/>
    <w:multiLevelType w:val="hybridMultilevel"/>
    <w:tmpl w:val="5FF49A80"/>
    <w:lvl w:ilvl="0" w:tplc="AD8660AE">
      <w:start w:val="3"/>
      <w:numFmt w:val="lowerLetter"/>
      <w:lvlText w:val="%1)"/>
      <w:lvlJc w:val="left"/>
      <w:pPr>
        <w:ind w:left="3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84E834E0">
      <w:start w:val="1"/>
      <w:numFmt w:val="bullet"/>
      <w:lvlText w:val="-"/>
      <w:lvlJc w:val="left"/>
      <w:pPr>
        <w:ind w:left="1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8328868">
      <w:start w:val="1"/>
      <w:numFmt w:val="bullet"/>
      <w:lvlText w:val="▪"/>
      <w:lvlJc w:val="left"/>
      <w:pPr>
        <w:ind w:left="14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2A0D896">
      <w:start w:val="1"/>
      <w:numFmt w:val="bullet"/>
      <w:lvlText w:val="•"/>
      <w:lvlJc w:val="left"/>
      <w:pPr>
        <w:ind w:left="21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D8D54E">
      <w:start w:val="1"/>
      <w:numFmt w:val="bullet"/>
      <w:lvlText w:val="o"/>
      <w:lvlJc w:val="left"/>
      <w:pPr>
        <w:ind w:left="28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CA81412">
      <w:start w:val="1"/>
      <w:numFmt w:val="bullet"/>
      <w:lvlText w:val="▪"/>
      <w:lvlJc w:val="left"/>
      <w:pPr>
        <w:ind w:left="3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A223AB8">
      <w:start w:val="1"/>
      <w:numFmt w:val="bullet"/>
      <w:lvlText w:val="•"/>
      <w:lvlJc w:val="left"/>
      <w:pPr>
        <w:ind w:left="42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9645AC">
      <w:start w:val="1"/>
      <w:numFmt w:val="bullet"/>
      <w:lvlText w:val="o"/>
      <w:lvlJc w:val="left"/>
      <w:pPr>
        <w:ind w:left="50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CB2C854">
      <w:start w:val="1"/>
      <w:numFmt w:val="bullet"/>
      <w:lvlText w:val="▪"/>
      <w:lvlJc w:val="left"/>
      <w:pPr>
        <w:ind w:left="57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59D4E18"/>
    <w:multiLevelType w:val="hybridMultilevel"/>
    <w:tmpl w:val="639023B0"/>
    <w:lvl w:ilvl="0" w:tplc="7F72B626">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26596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4A2C57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2605C5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6E38F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2084F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25CE75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8AC7E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746AA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9B14601"/>
    <w:multiLevelType w:val="hybridMultilevel"/>
    <w:tmpl w:val="ACF2685A"/>
    <w:lvl w:ilvl="0" w:tplc="DF9042C2">
      <w:start w:val="2"/>
      <w:numFmt w:val="lowerLetter"/>
      <w:lvlText w:val="%1)"/>
      <w:lvlJc w:val="left"/>
      <w:pPr>
        <w:ind w:left="53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C520F1C">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0E5E7962">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A9C4C22">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33C8E074">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B724514">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7220CA04">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69458FC">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B825616">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A9569DE"/>
    <w:multiLevelType w:val="hybridMultilevel"/>
    <w:tmpl w:val="4A368536"/>
    <w:lvl w:ilvl="0" w:tplc="D4FC89AC">
      <w:start w:val="2"/>
      <w:numFmt w:val="upperLetter"/>
      <w:lvlText w:val="%1)"/>
      <w:lvlJc w:val="left"/>
      <w:pPr>
        <w:ind w:left="106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2730E418">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1C58C8D6">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E5E6BA2">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9A4CF448">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FC266DE">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DDBAE668">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C5EC6738">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B842C6A">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BA00329"/>
    <w:multiLevelType w:val="hybridMultilevel"/>
    <w:tmpl w:val="DD42C4EE"/>
    <w:lvl w:ilvl="0" w:tplc="7A5CA3B6">
      <w:start w:val="1"/>
      <w:numFmt w:val="bullet"/>
      <w:lvlText w:val="-"/>
      <w:lvlJc w:val="left"/>
      <w:pPr>
        <w:ind w:left="1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6246A2">
      <w:start w:val="1"/>
      <w:numFmt w:val="bullet"/>
      <w:lvlText w:val="o"/>
      <w:lvlJc w:val="left"/>
      <w:pPr>
        <w:ind w:left="14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C071D4">
      <w:start w:val="1"/>
      <w:numFmt w:val="bullet"/>
      <w:lvlText w:val="▪"/>
      <w:lvlJc w:val="left"/>
      <w:pPr>
        <w:ind w:left="22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EE6CEA">
      <w:start w:val="1"/>
      <w:numFmt w:val="bullet"/>
      <w:lvlText w:val="•"/>
      <w:lvlJc w:val="left"/>
      <w:pPr>
        <w:ind w:left="2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C8C730">
      <w:start w:val="1"/>
      <w:numFmt w:val="bullet"/>
      <w:lvlText w:val="o"/>
      <w:lvlJc w:val="left"/>
      <w:pPr>
        <w:ind w:left="3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B06D154">
      <w:start w:val="1"/>
      <w:numFmt w:val="bullet"/>
      <w:lvlText w:val="▪"/>
      <w:lvlJc w:val="left"/>
      <w:pPr>
        <w:ind w:left="4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B18901E">
      <w:start w:val="1"/>
      <w:numFmt w:val="bullet"/>
      <w:lvlText w:val="•"/>
      <w:lvlJc w:val="left"/>
      <w:pPr>
        <w:ind w:left="5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E22FB6">
      <w:start w:val="1"/>
      <w:numFmt w:val="bullet"/>
      <w:lvlText w:val="o"/>
      <w:lvlJc w:val="left"/>
      <w:pPr>
        <w:ind w:left="5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1E83FE8">
      <w:start w:val="1"/>
      <w:numFmt w:val="bullet"/>
      <w:lvlText w:val="▪"/>
      <w:lvlJc w:val="left"/>
      <w:pPr>
        <w:ind w:left="6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995751A"/>
    <w:multiLevelType w:val="hybridMultilevel"/>
    <w:tmpl w:val="567A124C"/>
    <w:lvl w:ilvl="0" w:tplc="75CC9F92">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A09286">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1E69B4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B00711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70DAF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0540E3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FA6771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CEBCD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7985A0E">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063115E"/>
    <w:multiLevelType w:val="hybridMultilevel"/>
    <w:tmpl w:val="100A93E2"/>
    <w:lvl w:ilvl="0" w:tplc="C14ADDB8">
      <w:start w:val="2"/>
      <w:numFmt w:val="decimal"/>
      <w:lvlText w:val="%1."/>
      <w:lvlJc w:val="left"/>
      <w:pPr>
        <w:ind w:left="34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D26FFA6">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08E49706">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D64A600">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F3A478C">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5960278">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085AE1FC">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418CFEF6">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9CE5F8E">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48D4E98"/>
    <w:multiLevelType w:val="hybridMultilevel"/>
    <w:tmpl w:val="C136CC0C"/>
    <w:lvl w:ilvl="0" w:tplc="8B723AA2">
      <w:start w:val="1"/>
      <w:numFmt w:val="decimal"/>
      <w:lvlText w:val="%1"/>
      <w:lvlJc w:val="left"/>
      <w:pPr>
        <w:ind w:left="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B44C1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6D0699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34606F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F459F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B327C5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8B0423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F0359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F52E19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AED5630"/>
    <w:multiLevelType w:val="hybridMultilevel"/>
    <w:tmpl w:val="62A6143E"/>
    <w:lvl w:ilvl="0" w:tplc="12FEF540">
      <w:start w:val="1"/>
      <w:numFmt w:val="lowerLetter"/>
      <w:lvlText w:val="%1)"/>
      <w:lvlJc w:val="left"/>
      <w:pPr>
        <w:ind w:left="3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471ED254">
      <w:start w:val="1"/>
      <w:numFmt w:val="bullet"/>
      <w:lvlText w:val="-"/>
      <w:lvlJc w:val="left"/>
      <w:pPr>
        <w:ind w:left="1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C4C086E">
      <w:start w:val="1"/>
      <w:numFmt w:val="bullet"/>
      <w:lvlText w:val="▪"/>
      <w:lvlJc w:val="left"/>
      <w:pPr>
        <w:ind w:left="15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ED8B72E">
      <w:start w:val="1"/>
      <w:numFmt w:val="bullet"/>
      <w:lvlText w:val="•"/>
      <w:lvlJc w:val="left"/>
      <w:pPr>
        <w:ind w:left="2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EE6D1A">
      <w:start w:val="1"/>
      <w:numFmt w:val="bullet"/>
      <w:lvlText w:val="o"/>
      <w:lvlJc w:val="left"/>
      <w:pPr>
        <w:ind w:left="29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58ACD24">
      <w:start w:val="1"/>
      <w:numFmt w:val="bullet"/>
      <w:lvlText w:val="▪"/>
      <w:lvlJc w:val="left"/>
      <w:pPr>
        <w:ind w:left="36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BA43F10">
      <w:start w:val="1"/>
      <w:numFmt w:val="bullet"/>
      <w:lvlText w:val="•"/>
      <w:lvlJc w:val="left"/>
      <w:pPr>
        <w:ind w:left="44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2C5B68">
      <w:start w:val="1"/>
      <w:numFmt w:val="bullet"/>
      <w:lvlText w:val="o"/>
      <w:lvlJc w:val="left"/>
      <w:pPr>
        <w:ind w:left="5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908A60A">
      <w:start w:val="1"/>
      <w:numFmt w:val="bullet"/>
      <w:lvlText w:val="▪"/>
      <w:lvlJc w:val="left"/>
      <w:pPr>
        <w:ind w:left="5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C913E11"/>
    <w:multiLevelType w:val="hybridMultilevel"/>
    <w:tmpl w:val="88E405F8"/>
    <w:lvl w:ilvl="0" w:tplc="51B040D4">
      <w:start w:val="3"/>
      <w:numFmt w:val="lowerLetter"/>
      <w:lvlText w:val="%1)"/>
      <w:lvlJc w:val="left"/>
      <w:pPr>
        <w:ind w:left="17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8C4E03FC">
      <w:start w:val="1"/>
      <w:numFmt w:val="lowerLetter"/>
      <w:lvlText w:val="%2"/>
      <w:lvlJc w:val="left"/>
      <w:pPr>
        <w:ind w:left="1614"/>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21868B7A">
      <w:start w:val="1"/>
      <w:numFmt w:val="lowerRoman"/>
      <w:lvlText w:val="%3"/>
      <w:lvlJc w:val="left"/>
      <w:pPr>
        <w:ind w:left="2334"/>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624EDB40">
      <w:start w:val="1"/>
      <w:numFmt w:val="decimal"/>
      <w:lvlText w:val="%4"/>
      <w:lvlJc w:val="left"/>
      <w:pPr>
        <w:ind w:left="3054"/>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D2ACAEA6">
      <w:start w:val="1"/>
      <w:numFmt w:val="lowerLetter"/>
      <w:lvlText w:val="%5"/>
      <w:lvlJc w:val="left"/>
      <w:pPr>
        <w:ind w:left="3774"/>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C514443A">
      <w:start w:val="1"/>
      <w:numFmt w:val="lowerRoman"/>
      <w:lvlText w:val="%6"/>
      <w:lvlJc w:val="left"/>
      <w:pPr>
        <w:ind w:left="4494"/>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CF8E1C14">
      <w:start w:val="1"/>
      <w:numFmt w:val="decimal"/>
      <w:lvlText w:val="%7"/>
      <w:lvlJc w:val="left"/>
      <w:pPr>
        <w:ind w:left="5214"/>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9CB2EE64">
      <w:start w:val="1"/>
      <w:numFmt w:val="lowerLetter"/>
      <w:lvlText w:val="%8"/>
      <w:lvlJc w:val="left"/>
      <w:pPr>
        <w:ind w:left="5934"/>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122A2280">
      <w:start w:val="1"/>
      <w:numFmt w:val="lowerRoman"/>
      <w:lvlText w:val="%9"/>
      <w:lvlJc w:val="left"/>
      <w:pPr>
        <w:ind w:left="6654"/>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C985C47"/>
    <w:multiLevelType w:val="hybridMultilevel"/>
    <w:tmpl w:val="99A615A0"/>
    <w:lvl w:ilvl="0" w:tplc="21041DEC">
      <w:start w:val="3"/>
      <w:numFmt w:val="lowerLetter"/>
      <w:lvlText w:val="%1)"/>
      <w:lvlJc w:val="left"/>
      <w:pPr>
        <w:ind w:left="3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B968298">
      <w:start w:val="1"/>
      <w:numFmt w:val="bullet"/>
      <w:lvlText w:val="-"/>
      <w:lvlJc w:val="left"/>
      <w:pPr>
        <w:ind w:left="1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0784C5C">
      <w:start w:val="1"/>
      <w:numFmt w:val="bullet"/>
      <w:lvlText w:val="▪"/>
      <w:lvlJc w:val="left"/>
      <w:pPr>
        <w:ind w:left="14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6609E46">
      <w:start w:val="1"/>
      <w:numFmt w:val="bullet"/>
      <w:lvlText w:val="•"/>
      <w:lvlJc w:val="left"/>
      <w:pPr>
        <w:ind w:left="21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5034F4">
      <w:start w:val="1"/>
      <w:numFmt w:val="bullet"/>
      <w:lvlText w:val="o"/>
      <w:lvlJc w:val="left"/>
      <w:pPr>
        <w:ind w:left="28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516E42E">
      <w:start w:val="1"/>
      <w:numFmt w:val="bullet"/>
      <w:lvlText w:val="▪"/>
      <w:lvlJc w:val="left"/>
      <w:pPr>
        <w:ind w:left="3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A1E9870">
      <w:start w:val="1"/>
      <w:numFmt w:val="bullet"/>
      <w:lvlText w:val="•"/>
      <w:lvlJc w:val="left"/>
      <w:pPr>
        <w:ind w:left="42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B412CE">
      <w:start w:val="1"/>
      <w:numFmt w:val="bullet"/>
      <w:lvlText w:val="o"/>
      <w:lvlJc w:val="left"/>
      <w:pPr>
        <w:ind w:left="50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2B88F56">
      <w:start w:val="1"/>
      <w:numFmt w:val="bullet"/>
      <w:lvlText w:val="▪"/>
      <w:lvlJc w:val="left"/>
      <w:pPr>
        <w:ind w:left="57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F137139"/>
    <w:multiLevelType w:val="hybridMultilevel"/>
    <w:tmpl w:val="D1FA1AA4"/>
    <w:lvl w:ilvl="0" w:tplc="734249B2">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EA2390">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860DE2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664F8F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320AF4">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25460D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41E705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4E01D2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D268B70">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FBC5761"/>
    <w:multiLevelType w:val="hybridMultilevel"/>
    <w:tmpl w:val="EFE822C2"/>
    <w:lvl w:ilvl="0" w:tplc="E7F08B76">
      <w:start w:val="2"/>
      <w:numFmt w:val="lowerLetter"/>
      <w:lvlText w:val="%1)"/>
      <w:lvlJc w:val="left"/>
      <w:pPr>
        <w:ind w:left="53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4B80176">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57861FFE">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B23408D4">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DA4A386">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3F2430E">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3AC0ED2">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DB887D2">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2B4C500">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09F620D"/>
    <w:multiLevelType w:val="hybridMultilevel"/>
    <w:tmpl w:val="A1C0D568"/>
    <w:lvl w:ilvl="0" w:tplc="81E23ACA">
      <w:start w:val="1"/>
      <w:numFmt w:val="lowerLetter"/>
      <w:lvlText w:val="%1)"/>
      <w:lvlJc w:val="left"/>
      <w:pPr>
        <w:ind w:left="3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A84F496">
      <w:start w:val="1"/>
      <w:numFmt w:val="bullet"/>
      <w:lvlText w:val="-"/>
      <w:lvlJc w:val="left"/>
      <w:pPr>
        <w:ind w:left="1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D427A6">
      <w:start w:val="1"/>
      <w:numFmt w:val="bullet"/>
      <w:lvlText w:val="▪"/>
      <w:lvlJc w:val="left"/>
      <w:pPr>
        <w:ind w:left="16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2FAAA98">
      <w:start w:val="1"/>
      <w:numFmt w:val="bullet"/>
      <w:lvlText w:val="•"/>
      <w:lvlJc w:val="left"/>
      <w:pPr>
        <w:ind w:left="2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24F108">
      <w:start w:val="1"/>
      <w:numFmt w:val="bullet"/>
      <w:lvlText w:val="o"/>
      <w:lvlJc w:val="left"/>
      <w:pPr>
        <w:ind w:left="30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10C5BD4">
      <w:start w:val="1"/>
      <w:numFmt w:val="bullet"/>
      <w:lvlText w:val="▪"/>
      <w:lvlJc w:val="left"/>
      <w:pPr>
        <w:ind w:left="3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5D217B4">
      <w:start w:val="1"/>
      <w:numFmt w:val="bullet"/>
      <w:lvlText w:val="•"/>
      <w:lvlJc w:val="left"/>
      <w:pPr>
        <w:ind w:left="45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86FFD0">
      <w:start w:val="1"/>
      <w:numFmt w:val="bullet"/>
      <w:lvlText w:val="o"/>
      <w:lvlJc w:val="left"/>
      <w:pPr>
        <w:ind w:left="52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A446B58">
      <w:start w:val="1"/>
      <w:numFmt w:val="bullet"/>
      <w:lvlText w:val="▪"/>
      <w:lvlJc w:val="left"/>
      <w:pPr>
        <w:ind w:left="59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1D96087"/>
    <w:multiLevelType w:val="hybridMultilevel"/>
    <w:tmpl w:val="B1B85290"/>
    <w:lvl w:ilvl="0" w:tplc="D8C0F67C">
      <w:start w:val="1"/>
      <w:numFmt w:val="bullet"/>
      <w:lvlText w:val="-"/>
      <w:lvlJc w:val="left"/>
      <w:pPr>
        <w:ind w:left="1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D8463C">
      <w:start w:val="1"/>
      <w:numFmt w:val="bullet"/>
      <w:lvlText w:val="o"/>
      <w:lvlJc w:val="left"/>
      <w:pPr>
        <w:ind w:left="14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77AF9B8">
      <w:start w:val="1"/>
      <w:numFmt w:val="bullet"/>
      <w:lvlText w:val="▪"/>
      <w:lvlJc w:val="left"/>
      <w:pPr>
        <w:ind w:left="21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ACC5DC">
      <w:start w:val="1"/>
      <w:numFmt w:val="bullet"/>
      <w:lvlText w:val="•"/>
      <w:lvlJc w:val="left"/>
      <w:pPr>
        <w:ind w:left="29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9006F4">
      <w:start w:val="1"/>
      <w:numFmt w:val="bullet"/>
      <w:lvlText w:val="o"/>
      <w:lvlJc w:val="left"/>
      <w:pPr>
        <w:ind w:left="36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0A6A296">
      <w:start w:val="1"/>
      <w:numFmt w:val="bullet"/>
      <w:lvlText w:val="▪"/>
      <w:lvlJc w:val="left"/>
      <w:pPr>
        <w:ind w:left="43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AE41A70">
      <w:start w:val="1"/>
      <w:numFmt w:val="bullet"/>
      <w:lvlText w:val="•"/>
      <w:lvlJc w:val="left"/>
      <w:pPr>
        <w:ind w:left="50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CEDDD2">
      <w:start w:val="1"/>
      <w:numFmt w:val="bullet"/>
      <w:lvlText w:val="o"/>
      <w:lvlJc w:val="left"/>
      <w:pPr>
        <w:ind w:left="5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82E253A">
      <w:start w:val="1"/>
      <w:numFmt w:val="bullet"/>
      <w:lvlText w:val="▪"/>
      <w:lvlJc w:val="left"/>
      <w:pPr>
        <w:ind w:left="65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2073730"/>
    <w:multiLevelType w:val="hybridMultilevel"/>
    <w:tmpl w:val="B866B364"/>
    <w:lvl w:ilvl="0" w:tplc="9DFC45C8">
      <w:start w:val="3"/>
      <w:numFmt w:val="lowerLetter"/>
      <w:lvlText w:val="%1)"/>
      <w:lvlJc w:val="left"/>
      <w:pPr>
        <w:ind w:left="17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B40D522">
      <w:start w:val="1"/>
      <w:numFmt w:val="lowerLetter"/>
      <w:lvlText w:val="%2"/>
      <w:lvlJc w:val="left"/>
      <w:pPr>
        <w:ind w:left="16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28A0D080">
      <w:start w:val="1"/>
      <w:numFmt w:val="lowerRoman"/>
      <w:lvlText w:val="%3"/>
      <w:lvlJc w:val="left"/>
      <w:pPr>
        <w:ind w:left="233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B3E0278">
      <w:start w:val="1"/>
      <w:numFmt w:val="decimal"/>
      <w:lvlText w:val="%4"/>
      <w:lvlJc w:val="left"/>
      <w:pPr>
        <w:ind w:left="305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AB0E7C0">
      <w:start w:val="1"/>
      <w:numFmt w:val="lowerLetter"/>
      <w:lvlText w:val="%5"/>
      <w:lvlJc w:val="left"/>
      <w:pPr>
        <w:ind w:left="377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B487C64">
      <w:start w:val="1"/>
      <w:numFmt w:val="lowerRoman"/>
      <w:lvlText w:val="%6"/>
      <w:lvlJc w:val="left"/>
      <w:pPr>
        <w:ind w:left="449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85AF972">
      <w:start w:val="1"/>
      <w:numFmt w:val="decimal"/>
      <w:lvlText w:val="%7"/>
      <w:lvlJc w:val="left"/>
      <w:pPr>
        <w:ind w:left="52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304CADE">
      <w:start w:val="1"/>
      <w:numFmt w:val="lowerLetter"/>
      <w:lvlText w:val="%8"/>
      <w:lvlJc w:val="left"/>
      <w:pPr>
        <w:ind w:left="593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7A83748">
      <w:start w:val="1"/>
      <w:numFmt w:val="lowerRoman"/>
      <w:lvlText w:val="%9"/>
      <w:lvlJc w:val="left"/>
      <w:pPr>
        <w:ind w:left="665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4F10113"/>
    <w:multiLevelType w:val="hybridMultilevel"/>
    <w:tmpl w:val="DB14177C"/>
    <w:lvl w:ilvl="0" w:tplc="458C9EF8">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5E86F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ACD1B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A4E78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7C70C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4B8AD9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6CA2CC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7ED95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AC6640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D7D072B"/>
    <w:multiLevelType w:val="hybridMultilevel"/>
    <w:tmpl w:val="48566DDA"/>
    <w:lvl w:ilvl="0" w:tplc="AC5AAACC">
      <w:start w:val="1"/>
      <w:numFmt w:val="decimal"/>
      <w:lvlText w:val="%1."/>
      <w:lvlJc w:val="left"/>
      <w:pPr>
        <w:ind w:left="59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0698606A">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3996AB8E">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D834C4A0">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A9943784">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2FC6409C">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26ACD6FE">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A605952">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2A7E6CA2">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num w:numId="1">
    <w:abstractNumId w:val="27"/>
  </w:num>
  <w:num w:numId="2">
    <w:abstractNumId w:val="12"/>
  </w:num>
  <w:num w:numId="3">
    <w:abstractNumId w:val="31"/>
  </w:num>
  <w:num w:numId="4">
    <w:abstractNumId w:val="28"/>
  </w:num>
  <w:num w:numId="5">
    <w:abstractNumId w:val="3"/>
  </w:num>
  <w:num w:numId="6">
    <w:abstractNumId w:val="0"/>
  </w:num>
  <w:num w:numId="7">
    <w:abstractNumId w:val="7"/>
  </w:num>
  <w:num w:numId="8">
    <w:abstractNumId w:val="40"/>
  </w:num>
  <w:num w:numId="9">
    <w:abstractNumId w:val="35"/>
  </w:num>
  <w:num w:numId="10">
    <w:abstractNumId w:val="38"/>
  </w:num>
  <w:num w:numId="11">
    <w:abstractNumId w:val="17"/>
  </w:num>
  <w:num w:numId="12">
    <w:abstractNumId w:val="9"/>
  </w:num>
  <w:num w:numId="13">
    <w:abstractNumId w:val="25"/>
  </w:num>
  <w:num w:numId="14">
    <w:abstractNumId w:val="29"/>
  </w:num>
  <w:num w:numId="15">
    <w:abstractNumId w:val="13"/>
  </w:num>
  <w:num w:numId="16">
    <w:abstractNumId w:val="21"/>
  </w:num>
  <w:num w:numId="17">
    <w:abstractNumId w:val="18"/>
  </w:num>
  <w:num w:numId="18">
    <w:abstractNumId w:val="32"/>
  </w:num>
  <w:num w:numId="19">
    <w:abstractNumId w:val="14"/>
  </w:num>
  <w:num w:numId="20">
    <w:abstractNumId w:val="36"/>
  </w:num>
  <w:num w:numId="21">
    <w:abstractNumId w:val="1"/>
  </w:num>
  <w:num w:numId="22">
    <w:abstractNumId w:val="24"/>
  </w:num>
  <w:num w:numId="23">
    <w:abstractNumId w:val="30"/>
  </w:num>
  <w:num w:numId="24">
    <w:abstractNumId w:val="8"/>
  </w:num>
  <w:num w:numId="25">
    <w:abstractNumId w:val="2"/>
  </w:num>
  <w:num w:numId="26">
    <w:abstractNumId w:val="10"/>
  </w:num>
  <w:num w:numId="27">
    <w:abstractNumId w:val="37"/>
  </w:num>
  <w:num w:numId="28">
    <w:abstractNumId w:val="20"/>
  </w:num>
  <w:num w:numId="29">
    <w:abstractNumId w:val="22"/>
  </w:num>
  <w:num w:numId="30">
    <w:abstractNumId w:val="33"/>
  </w:num>
  <w:num w:numId="31">
    <w:abstractNumId w:val="34"/>
  </w:num>
  <w:num w:numId="32">
    <w:abstractNumId w:val="19"/>
  </w:num>
  <w:num w:numId="33">
    <w:abstractNumId w:val="26"/>
  </w:num>
  <w:num w:numId="34">
    <w:abstractNumId w:val="39"/>
  </w:num>
  <w:num w:numId="35">
    <w:abstractNumId w:val="5"/>
  </w:num>
  <w:num w:numId="36">
    <w:abstractNumId w:val="23"/>
  </w:num>
  <w:num w:numId="37">
    <w:abstractNumId w:val="41"/>
  </w:num>
  <w:num w:numId="38">
    <w:abstractNumId w:val="4"/>
  </w:num>
  <w:num w:numId="39">
    <w:abstractNumId w:val="16"/>
  </w:num>
  <w:num w:numId="40">
    <w:abstractNumId w:val="11"/>
  </w:num>
  <w:num w:numId="41">
    <w:abstractNumId w:val="15"/>
  </w:num>
  <w:num w:numId="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413"/>
    <w:rsid w:val="00D712A8"/>
    <w:rsid w:val="00FA741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DA320B-B2CC-4B31-AE8A-E6E41FADF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pPr>
      <w:keepNext/>
      <w:keepLines/>
      <w:spacing w:after="101"/>
      <w:ind w:left="288" w:hanging="10"/>
      <w:jc w:val="center"/>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pacing w:after="101"/>
      <w:ind w:left="288" w:hanging="10"/>
      <w:jc w:val="center"/>
      <w:outlineLvl w:val="1"/>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2"/>
    </w:rPr>
  </w:style>
  <w:style w:type="character" w:customStyle="1" w:styleId="Ttulo2Car">
    <w:name w:val="Título 2 Car"/>
    <w:link w:val="Ttulo2"/>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27.jpg"/><Relationship Id="rId21" Type="http://schemas.openxmlformats.org/officeDocument/2006/relationships/image" Target="media/image12.jpg"/><Relationship Id="rId34" Type="http://schemas.openxmlformats.org/officeDocument/2006/relationships/image" Target="media/image24.jpg"/><Relationship Id="rId42" Type="http://schemas.openxmlformats.org/officeDocument/2006/relationships/image" Target="media/image30.jpg"/><Relationship Id="rId47" Type="http://schemas.openxmlformats.org/officeDocument/2006/relationships/image" Target="media/image33.jp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g"/><Relationship Id="rId29" Type="http://schemas.openxmlformats.org/officeDocument/2006/relationships/image" Target="media/image19.jpg"/><Relationship Id="rId11" Type="http://schemas.openxmlformats.org/officeDocument/2006/relationships/image" Target="media/image4.jpg"/><Relationship Id="rId24" Type="http://schemas.openxmlformats.org/officeDocument/2006/relationships/image" Target="media/image15.jpg"/><Relationship Id="rId32" Type="http://schemas.openxmlformats.org/officeDocument/2006/relationships/image" Target="media/image22.jp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image" Target="media/image310.jpg"/><Relationship Id="rId53"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image" Target="media/image10.jpg"/><Relationship Id="rId31" Type="http://schemas.openxmlformats.org/officeDocument/2006/relationships/image" Target="media/image21.jpg"/><Relationship Id="rId44" Type="http://schemas.openxmlformats.org/officeDocument/2006/relationships/image" Target="media/image300.jp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36.png"/><Relationship Id="rId22" Type="http://schemas.openxmlformats.org/officeDocument/2006/relationships/image" Target="media/image13.jpg"/><Relationship Id="rId27" Type="http://schemas.openxmlformats.org/officeDocument/2006/relationships/image" Target="media/image170.jpg"/><Relationship Id="rId30" Type="http://schemas.openxmlformats.org/officeDocument/2006/relationships/image" Target="media/image20.jpg"/><Relationship Id="rId35" Type="http://schemas.openxmlformats.org/officeDocument/2006/relationships/image" Target="media/image230.jpg"/><Relationship Id="rId43" Type="http://schemas.openxmlformats.org/officeDocument/2006/relationships/image" Target="media/image31.jpg"/><Relationship Id="rId48" Type="http://schemas.openxmlformats.org/officeDocument/2006/relationships/image" Target="media/image34.jpg"/><Relationship Id="rId56" Type="http://schemas.openxmlformats.org/officeDocument/2006/relationships/theme" Target="theme/theme1.xml"/><Relationship Id="rId8" Type="http://schemas.openxmlformats.org/officeDocument/2006/relationships/image" Target="media/image0.pn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3.jpg"/><Relationship Id="rId38" Type="http://schemas.openxmlformats.org/officeDocument/2006/relationships/image" Target="media/image26.jpg"/><Relationship Id="rId46" Type="http://schemas.openxmlformats.org/officeDocument/2006/relationships/image" Target="media/image32.jpg"/><Relationship Id="rId20" Type="http://schemas.openxmlformats.org/officeDocument/2006/relationships/image" Target="media/image11.jpg"/><Relationship Id="rId41" Type="http://schemas.openxmlformats.org/officeDocument/2006/relationships/image" Target="media/image29.jpg"/><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8.jpg"/><Relationship Id="rId36" Type="http://schemas.openxmlformats.org/officeDocument/2006/relationships/image" Target="media/image240.jpg"/><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42" Type="http://schemas.openxmlformats.org/officeDocument/2006/relationships/image" Target="media/image36.jpg"/><Relationship Id="rId41" Type="http://schemas.openxmlformats.org/officeDocument/2006/relationships/image" Target="media/image2.png"/><Relationship Id="rId1" Type="http://schemas.openxmlformats.org/officeDocument/2006/relationships/image" Target="media/image35.png"/><Relationship Id="rId40" Type="http://schemas.openxmlformats.org/officeDocument/2006/relationships/image" Target="media/image1.jpg"/></Relationships>
</file>

<file path=word/_rels/header2.xml.rels><?xml version="1.0" encoding="UTF-8" standalone="yes"?>
<Relationships xmlns="http://schemas.openxmlformats.org/package/2006/relationships"><Relationship Id="rId42" Type="http://schemas.openxmlformats.org/officeDocument/2006/relationships/image" Target="media/image36.jpg"/><Relationship Id="rId41" Type="http://schemas.openxmlformats.org/officeDocument/2006/relationships/image" Target="media/image2.png"/><Relationship Id="rId1" Type="http://schemas.openxmlformats.org/officeDocument/2006/relationships/image" Target="media/image35.png"/><Relationship Id="rId40"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6.jpg"/><Relationship Id="rId40"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105</Pages>
  <Words>56710</Words>
  <Characters>311905</Characters>
  <Application>Microsoft Office Word</Application>
  <DocSecurity>0</DocSecurity>
  <Lines>2599</Lines>
  <Paragraphs>735</Paragraphs>
  <ScaleCrop>false</ScaleCrop>
  <Company>HP</Company>
  <LinksUpToDate>false</LinksUpToDate>
  <CharactersWithSpaces>367880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2</cp:revision>
  <dcterms:created xsi:type="dcterms:W3CDTF">2024-01-17T09:13:00Z</dcterms:created>
  <dcterms:modified xsi:type="dcterms:W3CDTF">2024-01-17T09:13:00Z</dcterms:modified>
</cp:coreProperties>
</file>