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3B" w:rsidRDefault="005328A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E76E3B" w:rsidRDefault="00E76E3B">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E76E3B">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E76E3B">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Pr="005328AD" w:rsidRDefault="005328AD">
            <w:pPr>
              <w:spacing w:after="84" w:line="251" w:lineRule="auto"/>
              <w:ind w:left="0" w:right="0" w:firstLine="0"/>
              <w:jc w:val="left"/>
              <w:rPr>
                <w:rFonts w:ascii="Arial" w:hAnsi="Arial" w:cs="Arial"/>
                <w:sz w:val="20"/>
                <w:szCs w:val="20"/>
              </w:rPr>
            </w:pPr>
            <w:r>
              <w:rPr>
                <w:rFonts w:ascii="Arial" w:hAnsi="Arial" w:cs="Arial"/>
                <w:sz w:val="20"/>
                <w:szCs w:val="20"/>
              </w:rPr>
              <w:t>PLN/2023/3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Pr="005328AD" w:rsidRDefault="005328AD">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E76E3B" w:rsidRDefault="005328A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E76E3B" w:rsidRDefault="005328AD">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E76E3B">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BF3785" w:rsidP="005328AD">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E76E3B">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rsidP="005328AD">
            <w:pPr>
              <w:spacing w:after="84" w:line="251" w:lineRule="auto"/>
              <w:ind w:left="0" w:right="0" w:firstLine="0"/>
              <w:jc w:val="left"/>
              <w:rPr>
                <w:rFonts w:ascii="Arial" w:hAnsi="Arial" w:cs="Arial"/>
                <w:sz w:val="20"/>
                <w:szCs w:val="20"/>
              </w:rPr>
            </w:pPr>
            <w:r>
              <w:rPr>
                <w:rFonts w:ascii="Arial" w:hAnsi="Arial" w:cs="Arial"/>
                <w:sz w:val="20"/>
                <w:szCs w:val="20"/>
              </w:rPr>
              <w:t>1ª convocatoria: 30 de marzo de 2023 a las 9:00</w:t>
            </w:r>
          </w:p>
          <w:p w:rsidR="005328AD" w:rsidRDefault="005328AD" w:rsidP="005328AD">
            <w:pPr>
              <w:spacing w:after="84" w:line="251" w:lineRule="auto"/>
              <w:ind w:left="0" w:right="0" w:firstLine="0"/>
              <w:jc w:val="left"/>
              <w:rPr>
                <w:rFonts w:ascii="Arial" w:hAnsi="Arial" w:cs="Arial"/>
                <w:sz w:val="20"/>
                <w:szCs w:val="20"/>
              </w:rPr>
            </w:pPr>
            <w:r>
              <w:rPr>
                <w:rFonts w:ascii="Arial" w:hAnsi="Arial" w:cs="Arial"/>
                <w:sz w:val="20"/>
                <w:szCs w:val="20"/>
              </w:rPr>
              <w:t>2ª convocatoria:3 de 2023 a las 9:00</w:t>
            </w:r>
          </w:p>
        </w:tc>
      </w:tr>
      <w:tr w:rsidR="00E76E3B">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E76E3B" w:rsidRDefault="00E76E3B">
            <w:pPr>
              <w:spacing w:after="84" w:line="251" w:lineRule="auto"/>
              <w:ind w:left="0" w:right="0" w:firstLine="0"/>
              <w:jc w:val="left"/>
              <w:rPr>
                <w:rFonts w:ascii="Arial" w:hAnsi="Arial" w:cs="Arial"/>
                <w:b/>
                <w:sz w:val="20"/>
                <w:szCs w:val="20"/>
              </w:rPr>
            </w:pPr>
          </w:p>
          <w:p w:rsidR="00E76E3B" w:rsidRDefault="00E76E3B">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E3B" w:rsidRDefault="005328AD" w:rsidP="005328AD">
            <w:pPr>
              <w:spacing w:after="84" w:line="251" w:lineRule="auto"/>
              <w:ind w:left="0" w:right="0" w:firstLine="0"/>
              <w:jc w:val="left"/>
              <w:rPr>
                <w:rFonts w:ascii="Arial" w:hAnsi="Arial" w:cs="Arial"/>
                <w:sz w:val="20"/>
                <w:szCs w:val="20"/>
              </w:rPr>
            </w:pPr>
            <w:r>
              <w:rPr>
                <w:rFonts w:ascii="Arial" w:hAnsi="Arial" w:cs="Arial"/>
                <w:sz w:val="20"/>
                <w:szCs w:val="20"/>
              </w:rPr>
              <w:t xml:space="preserve">Salón de Plenos del Ayuntamiento </w:t>
            </w:r>
          </w:p>
          <w:p w:rsidR="005328AD" w:rsidRDefault="005328AD" w:rsidP="005328AD">
            <w:pPr>
              <w:spacing w:after="84" w:line="251" w:lineRule="auto"/>
              <w:ind w:left="0" w:right="0" w:firstLine="0"/>
              <w:jc w:val="left"/>
              <w:rPr>
                <w:rFonts w:ascii="Arial" w:hAnsi="Arial" w:cs="Arial"/>
                <w:sz w:val="20"/>
                <w:szCs w:val="20"/>
              </w:rPr>
            </w:pPr>
            <w:r>
              <w:rPr>
                <w:rFonts w:ascii="Arial" w:hAnsi="Arial" w:cs="Arial"/>
                <w:sz w:val="20"/>
                <w:szCs w:val="20"/>
              </w:rPr>
              <w:t xml:space="preserve">Admite participación a distancia, pudiendo conectar mediante: </w:t>
            </w:r>
          </w:p>
          <w:p w:rsidR="005328AD" w:rsidRDefault="005328AD" w:rsidP="005328AD">
            <w:pPr>
              <w:spacing w:after="84" w:line="251" w:lineRule="auto"/>
              <w:ind w:left="0" w:right="0" w:firstLine="0"/>
              <w:jc w:val="left"/>
              <w:rPr>
                <w:rFonts w:ascii="Arial" w:hAnsi="Arial" w:cs="Arial"/>
                <w:sz w:val="20"/>
                <w:szCs w:val="20"/>
              </w:rPr>
            </w:pPr>
            <w:r>
              <w:rPr>
                <w:rFonts w:ascii="Arial" w:hAnsi="Arial" w:cs="Arial"/>
                <w:sz w:val="20"/>
                <w:szCs w:val="20"/>
              </w:rPr>
              <w:t>&lt;&lt;A través de la Sede Electrónica de la entidad en la dirección https://candelaria.sedelectronica.es&gt;&gt;</w:t>
            </w:r>
          </w:p>
          <w:p w:rsidR="005328AD" w:rsidRDefault="005328AD" w:rsidP="005328AD">
            <w:pPr>
              <w:spacing w:after="84" w:line="251" w:lineRule="auto"/>
              <w:ind w:left="0" w:right="0" w:firstLine="0"/>
              <w:jc w:val="left"/>
              <w:rPr>
                <w:rFonts w:ascii="Arial" w:hAnsi="Arial" w:cs="Arial"/>
                <w:sz w:val="20"/>
                <w:szCs w:val="20"/>
              </w:rPr>
            </w:pPr>
          </w:p>
        </w:tc>
      </w:tr>
    </w:tbl>
    <w:p w:rsidR="00E76E3B" w:rsidRDefault="00E76E3B">
      <w:pPr>
        <w:spacing w:after="84" w:line="251" w:lineRule="auto"/>
        <w:ind w:left="215" w:right="0" w:firstLine="0"/>
        <w:jc w:val="center"/>
        <w:rPr>
          <w:rFonts w:ascii="Arial" w:hAnsi="Arial" w:cs="Arial"/>
          <w:b/>
          <w:sz w:val="24"/>
          <w:szCs w:val="24"/>
        </w:rPr>
      </w:pPr>
    </w:p>
    <w:p w:rsidR="00E76E3B" w:rsidRDefault="005328AD">
      <w:pPr>
        <w:spacing w:after="84" w:line="251" w:lineRule="auto"/>
        <w:ind w:left="215" w:right="0" w:firstLine="0"/>
        <w:jc w:val="center"/>
        <w:rPr>
          <w:rFonts w:ascii="Arial" w:hAnsi="Arial" w:cs="Arial"/>
          <w:b/>
          <w:sz w:val="20"/>
          <w:szCs w:val="20"/>
        </w:rPr>
      </w:pPr>
      <w:r>
        <w:rPr>
          <w:rFonts w:ascii="Arial" w:hAnsi="Arial" w:cs="Arial"/>
          <w:b/>
          <w:sz w:val="20"/>
          <w:szCs w:val="20"/>
        </w:rPr>
        <w:t xml:space="preserve">ASUNTOS DE LA CONVOCATORIA </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AA6574">
        <w:rPr>
          <w:rFonts w:ascii="Arial" w:eastAsia="Times New Roman" w:hAnsi="Arial" w:cs="Arial"/>
          <w:b/>
          <w:bCs/>
          <w:sz w:val="20"/>
          <w:szCs w:val="20"/>
        </w:rPr>
        <w:t>A) Parte resolutiva</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Aprobación de las actas de los plenos ordinarios de 29 de diciembre de 2022 y 27 de enero de 2023</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2285/2023. Propuesta del Concejal delegado de Hacienda de fecha 20 de marzo de 2023 de dación de cuenta al Pleno de la Liquidación del Presupuesto del Ejercicio 2022</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13415/2022. Propuesta del Concejal delegado de Hacienda de fecha 27 de marzo de 2023 relativa a la aprobación definitiva del Presupuesto General del año 2023</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3304/2023. Propuesta del Concejal delegado de Hacienda de 22 de marzo de 2023 de aprobación inicial de modificación presupuestaria 3304/2023 por importe de 1.859.520,87 euros.</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2582/2023. Propuesta de la Alcaldesa-Presidenta de 27 de marzo de 2023 de fiestas locales para el año 2024.</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3237/2023. Propuesta del Concejal delegado de Relaciones Institucionales de fecha 21 de marzo de 2023 por la que se eleva al Pleno la Concesión de Distinción Honorífica de Hija Adoptiva de la Villa de Candelaria a Dª. María Dolores Arias Rodríguez, “</w:t>
      </w:r>
      <w:proofErr w:type="spellStart"/>
      <w:r w:rsidRPr="00AA6574">
        <w:rPr>
          <w:rFonts w:ascii="Arial" w:eastAsia="Times New Roman" w:hAnsi="Arial" w:cs="Arial"/>
          <w:sz w:val="20"/>
          <w:szCs w:val="20"/>
        </w:rPr>
        <w:t>Lolina</w:t>
      </w:r>
      <w:proofErr w:type="spellEnd"/>
      <w:r w:rsidRPr="00AA6574">
        <w:rPr>
          <w:rFonts w:ascii="Arial" w:eastAsia="Times New Roman" w:hAnsi="Arial" w:cs="Arial"/>
          <w:sz w:val="20"/>
          <w:szCs w:val="20"/>
        </w:rPr>
        <w:t>”.</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4304/2022. Propuesta de la Alcaldesa-Presidenta de 22 de marzo de 2023 al Pleno de solicitud al Gobierno de Canarias del procedimiento de evaluación ambiental estratégica de modificaciones menores al Plan General de Ordenación de Candelaria</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 xml:space="preserve">Expediente 3101/2023. Propuesta de la Alcaldesa-Presidenta de fecha 22 de marzo de 2023 de encomendar a la entidad “Gestión y Planeamiento Territorial y Medioambiental, SA (GESPLAN), adscrita a la Consejería de Transición Ecológica, Lucha contra el Cambio Climático y Planificación Territorial del Gobierno de Canarias, la redacción del proyecto del Plan Especial del Parque Periurbano de </w:t>
      </w:r>
      <w:proofErr w:type="spellStart"/>
      <w:r w:rsidRPr="00AA6574">
        <w:rPr>
          <w:rFonts w:ascii="Arial" w:eastAsia="Times New Roman" w:hAnsi="Arial" w:cs="Arial"/>
          <w:sz w:val="20"/>
          <w:szCs w:val="20"/>
        </w:rPr>
        <w:t>Pasacola</w:t>
      </w:r>
      <w:proofErr w:type="spellEnd"/>
      <w:r w:rsidRPr="00AA6574">
        <w:rPr>
          <w:rFonts w:ascii="Arial" w:eastAsia="Times New Roman" w:hAnsi="Arial" w:cs="Arial"/>
          <w:sz w:val="20"/>
          <w:szCs w:val="20"/>
        </w:rPr>
        <w:t xml:space="preserve"> por importe de 41.153.53 euros</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3108/2023. Propuesta de la Alcaldesa-Presidenta de fecha 22 de marzo de 2023 de encomendar a la entidad “Gestión y Planeamiento Territorial y Medioambiental, SA (GESPLAN)", adscrita a la Consejería de Transición Ecológica, Lucha contra el Cambio Climático y Planificación Territorial del Gobierno de Canarias, la redacción del proyecto del Plan Especial de ordenación del casco de Candelaria por importe de 126.730,93 euros</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 xml:space="preserve">Expediente 3110/2023. Propuesta de la Alcaldesa-Presidenta de fecha 22 de marzo de 2023 de encomendar a la entidad “Gestión y Planeamiento Territorial y Medioambiental, SA (GESPLAN)", adscrita a la Consejería de Transición Ecológica, Lucha contra el Cambio Climático </w:t>
      </w:r>
      <w:r w:rsidRPr="00AA6574">
        <w:rPr>
          <w:rFonts w:ascii="Arial" w:eastAsia="Times New Roman" w:hAnsi="Arial" w:cs="Arial"/>
          <w:sz w:val="20"/>
          <w:szCs w:val="20"/>
        </w:rPr>
        <w:lastRenderedPageBreak/>
        <w:t>y Planificación Territorial del Gobierno de Canarias la redacción del proyecto del Plan Especial de Reforma Interior de la Jiménez por importe de 81.050,36 euros</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 xml:space="preserve">Expediente 3111/2023. Propuesta de la Alcaldesa-Presidenta de fecha 22 de marzo de 2023 de encomendar a la entidad “Gestión y Planeamiento Territorial y Medioambiental, SA (GESPLAN)", adscrita a la Consejería de Transición Ecológica, Lucha contra el Cambio Climático y Planificación Territorial del Gobierno de Canarias, la redacción del proyecto Plan Especial Parque periurbano La Vera de </w:t>
      </w:r>
      <w:proofErr w:type="spellStart"/>
      <w:r w:rsidRPr="00AA6574">
        <w:rPr>
          <w:rFonts w:ascii="Arial" w:eastAsia="Times New Roman" w:hAnsi="Arial" w:cs="Arial"/>
          <w:sz w:val="20"/>
          <w:szCs w:val="20"/>
        </w:rPr>
        <w:t>Igueste</w:t>
      </w:r>
      <w:proofErr w:type="spellEnd"/>
      <w:r w:rsidRPr="00AA6574">
        <w:rPr>
          <w:rFonts w:ascii="Arial" w:eastAsia="Times New Roman" w:hAnsi="Arial" w:cs="Arial"/>
          <w:sz w:val="20"/>
          <w:szCs w:val="20"/>
        </w:rPr>
        <w:t xml:space="preserve"> por importe de 51.864,35 €</w:t>
      </w:r>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Expediente 8822/2021. Propuesta de la Alcaldesa-Presidenta de fecha 22 de marzo de 2023 de solicitud al Gobierno de Canarias del procedimiento de evaluación ambiental estratégica para la aprobación de la modificación menor de iniciativa privada del Plan General de Candelaria, La Fuente-</w:t>
      </w:r>
      <w:proofErr w:type="spellStart"/>
      <w:r w:rsidRPr="00AA6574">
        <w:rPr>
          <w:rFonts w:ascii="Arial" w:eastAsia="Times New Roman" w:hAnsi="Arial" w:cs="Arial"/>
          <w:sz w:val="20"/>
          <w:szCs w:val="20"/>
        </w:rPr>
        <w:t>Afirama</w:t>
      </w:r>
      <w:proofErr w:type="spellEnd"/>
    </w:p>
    <w:p w:rsidR="005328AD" w:rsidRPr="00AA6574" w:rsidRDefault="005328AD" w:rsidP="005328A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A6574">
        <w:rPr>
          <w:rFonts w:ascii="Arial" w:eastAsia="Times New Roman" w:hAnsi="Arial" w:cs="Arial"/>
          <w:sz w:val="20"/>
          <w:szCs w:val="20"/>
        </w:rPr>
        <w:t>Urgencias</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A6574">
        <w:rPr>
          <w:rFonts w:ascii="Arial" w:eastAsia="Times New Roman" w:hAnsi="Arial" w:cs="Arial"/>
          <w:b/>
          <w:bCs/>
          <w:sz w:val="20"/>
          <w:szCs w:val="20"/>
        </w:rPr>
        <w:t>B) Actividad de control</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A6574">
        <w:rPr>
          <w:rFonts w:ascii="Arial" w:eastAsia="Times New Roman" w:hAnsi="Arial" w:cs="Arial"/>
          <w:sz w:val="20"/>
          <w:szCs w:val="20"/>
        </w:rPr>
        <w:t>14. Dación de cuenta de los Decretos de la Alcaldía-Presidencia y de los Concejales delegados</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A6574">
        <w:rPr>
          <w:rFonts w:ascii="Arial" w:eastAsia="Times New Roman" w:hAnsi="Arial" w:cs="Arial"/>
          <w:sz w:val="20"/>
          <w:szCs w:val="20"/>
        </w:rPr>
        <w:t>15. Informe de Intervención de las resoluciones contrarias a los reparos efectuados en virtud de la ley 27/2013, de 27 de diciembre, de racionalización y sostenibilidad de Administración local</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A6574">
        <w:rPr>
          <w:rFonts w:ascii="Arial" w:eastAsia="Times New Roman" w:hAnsi="Arial" w:cs="Arial"/>
          <w:b/>
          <w:bCs/>
          <w:sz w:val="20"/>
          <w:szCs w:val="20"/>
        </w:rPr>
        <w:t>C) Ruegos y preguntas</w:t>
      </w:r>
    </w:p>
    <w:p w:rsidR="005328AD" w:rsidRPr="00AA6574" w:rsidRDefault="005328AD" w:rsidP="005328A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A6574">
        <w:rPr>
          <w:rFonts w:ascii="Arial" w:eastAsia="Times New Roman" w:hAnsi="Arial" w:cs="Arial"/>
          <w:sz w:val="20"/>
          <w:szCs w:val="20"/>
        </w:rPr>
        <w:t>16. Ruegos y preguntas</w:t>
      </w:r>
    </w:p>
    <w:bookmarkEnd w:id="0"/>
    <w:p w:rsidR="005328AD" w:rsidRDefault="005328AD">
      <w:pPr>
        <w:spacing w:after="84" w:line="251" w:lineRule="auto"/>
        <w:ind w:left="215" w:right="0" w:firstLine="0"/>
        <w:jc w:val="center"/>
      </w:pPr>
    </w:p>
    <w:sectPr w:rsidR="005328AD">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6A" w:rsidRDefault="005328AD">
      <w:pPr>
        <w:spacing w:after="0" w:line="240" w:lineRule="auto"/>
      </w:pPr>
      <w:r>
        <w:separator/>
      </w:r>
    </w:p>
  </w:endnote>
  <w:endnote w:type="continuationSeparator" w:id="0">
    <w:p w:rsidR="0091786A" w:rsidRDefault="0053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FD" w:rsidRDefault="005328AD">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0055FD" w:rsidRDefault="005328AD">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055FD" w:rsidRDefault="005328AD">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FD" w:rsidRDefault="00AA6574">
    <w:pPr>
      <w:spacing w:after="0" w:line="251" w:lineRule="auto"/>
      <w:ind w:left="-1420" w:right="10278" w:firstLine="0"/>
      <w:jc w:val="left"/>
    </w:pPr>
  </w:p>
  <w:p w:rsidR="000055FD" w:rsidRDefault="00AA6574">
    <w:pPr>
      <w:spacing w:after="0" w:line="251" w:lineRule="auto"/>
      <w:ind w:left="-1420" w:right="10278" w:firstLine="0"/>
      <w:jc w:val="left"/>
    </w:pPr>
  </w:p>
  <w:p w:rsidR="000055FD" w:rsidRDefault="00AA657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6A" w:rsidRDefault="005328AD">
      <w:pPr>
        <w:spacing w:after="0" w:line="240" w:lineRule="auto"/>
      </w:pPr>
      <w:r>
        <w:separator/>
      </w:r>
    </w:p>
  </w:footnote>
  <w:footnote w:type="continuationSeparator" w:id="0">
    <w:p w:rsidR="0091786A" w:rsidRDefault="0053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FD" w:rsidRDefault="005328AD">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0055FD" w:rsidRDefault="005328AD">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FD" w:rsidRDefault="005328AD">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83891"/>
    <w:multiLevelType w:val="multilevel"/>
    <w:tmpl w:val="83CE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3B"/>
    <w:rsid w:val="005328AD"/>
    <w:rsid w:val="0091786A"/>
    <w:rsid w:val="00AA6574"/>
    <w:rsid w:val="00BF3785"/>
    <w:rsid w:val="00E76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8D88D-FC32-42DD-969E-7F6DFA9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1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2024-01-18T08:29:00Z</dcterms:created>
  <dcterms:modified xsi:type="dcterms:W3CDTF">2024-01-23T10:46:00Z</dcterms:modified>
</cp:coreProperties>
</file>