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6D" w:rsidRDefault="00D51120">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9F2B6D" w:rsidRDefault="009F2B6D">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9F2B6D">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9F2B6D">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Pr="00D51120" w:rsidRDefault="004406D2">
            <w:pPr>
              <w:spacing w:after="84" w:line="251" w:lineRule="auto"/>
              <w:ind w:left="0" w:right="0" w:firstLine="0"/>
              <w:jc w:val="left"/>
              <w:rPr>
                <w:rFonts w:ascii="Arial" w:hAnsi="Arial" w:cs="Arial"/>
                <w:sz w:val="20"/>
                <w:szCs w:val="20"/>
              </w:rPr>
            </w:pPr>
            <w:r>
              <w:rPr>
                <w:rFonts w:ascii="Arial" w:hAnsi="Arial" w:cs="Arial"/>
                <w:sz w:val="20"/>
                <w:szCs w:val="20"/>
              </w:rPr>
              <w:t>PLN</w:t>
            </w:r>
            <w:r w:rsidR="00D51120">
              <w:rPr>
                <w:rFonts w:ascii="Arial" w:hAnsi="Arial" w:cs="Arial"/>
                <w:sz w:val="20"/>
                <w:szCs w:val="20"/>
              </w:rPr>
              <w:t>/2022/15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Pr="00D51120" w:rsidRDefault="00D51120">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9F2B6D" w:rsidRDefault="00D51120">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9F2B6D" w:rsidRDefault="00D51120">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9F2B6D">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9F2B6D" w:rsidRDefault="00D51120">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rsidP="00D51120">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9F2B6D">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rsidP="00D51120">
            <w:pPr>
              <w:spacing w:after="84" w:line="251" w:lineRule="auto"/>
              <w:ind w:left="0" w:right="0" w:firstLine="0"/>
              <w:jc w:val="left"/>
              <w:rPr>
                <w:rFonts w:ascii="Arial" w:hAnsi="Arial" w:cs="Arial"/>
                <w:sz w:val="20"/>
                <w:szCs w:val="20"/>
              </w:rPr>
            </w:pPr>
            <w:r>
              <w:rPr>
                <w:rFonts w:ascii="Arial" w:hAnsi="Arial" w:cs="Arial"/>
                <w:sz w:val="20"/>
                <w:szCs w:val="20"/>
              </w:rPr>
              <w:t>1ª convocatoria: 29 de diciembre de 2022 a las 9:00</w:t>
            </w:r>
          </w:p>
          <w:p w:rsidR="00D51120" w:rsidRDefault="00D51120" w:rsidP="00D51120">
            <w:pPr>
              <w:spacing w:after="84" w:line="251" w:lineRule="auto"/>
              <w:ind w:left="0" w:right="0" w:firstLine="0"/>
              <w:jc w:val="left"/>
              <w:rPr>
                <w:rFonts w:ascii="Arial" w:hAnsi="Arial" w:cs="Arial"/>
                <w:sz w:val="20"/>
                <w:szCs w:val="20"/>
              </w:rPr>
            </w:pPr>
            <w:r>
              <w:rPr>
                <w:rFonts w:ascii="Arial" w:hAnsi="Arial" w:cs="Arial"/>
                <w:sz w:val="20"/>
                <w:szCs w:val="20"/>
              </w:rPr>
              <w:t>2ª convocatoria: 31 de diciembre de 2022 a las 9:00</w:t>
            </w:r>
          </w:p>
        </w:tc>
      </w:tr>
      <w:tr w:rsidR="009F2B6D">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9F2B6D" w:rsidRDefault="009F2B6D">
            <w:pPr>
              <w:spacing w:after="84" w:line="251" w:lineRule="auto"/>
              <w:ind w:left="0" w:right="0" w:firstLine="0"/>
              <w:jc w:val="left"/>
              <w:rPr>
                <w:rFonts w:ascii="Arial" w:hAnsi="Arial" w:cs="Arial"/>
                <w:b/>
                <w:sz w:val="20"/>
                <w:szCs w:val="20"/>
              </w:rPr>
            </w:pPr>
          </w:p>
          <w:p w:rsidR="009F2B6D" w:rsidRDefault="009F2B6D">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2B6D" w:rsidRDefault="00D51120" w:rsidP="00D51120">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D51120" w:rsidRDefault="00D51120" w:rsidP="00D51120">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D51120" w:rsidRDefault="00D51120" w:rsidP="00D51120">
            <w:pPr>
              <w:spacing w:after="84" w:line="251" w:lineRule="auto"/>
              <w:ind w:left="0" w:right="0" w:firstLine="0"/>
              <w:jc w:val="left"/>
              <w:rPr>
                <w:rFonts w:ascii="Arial" w:hAnsi="Arial" w:cs="Arial"/>
                <w:sz w:val="20"/>
                <w:szCs w:val="20"/>
              </w:rPr>
            </w:pPr>
            <w:r>
              <w:rPr>
                <w:rFonts w:ascii="Arial" w:hAnsi="Arial" w:cs="Arial"/>
                <w:sz w:val="20"/>
                <w:szCs w:val="20"/>
              </w:rPr>
              <w:t>https://candelaria.sedelectrónica.es&gt;&gt;</w:t>
            </w:r>
          </w:p>
        </w:tc>
      </w:tr>
    </w:tbl>
    <w:p w:rsidR="009F2B6D" w:rsidRDefault="009F2B6D">
      <w:pPr>
        <w:spacing w:after="84" w:line="251" w:lineRule="auto"/>
        <w:ind w:left="215" w:right="0" w:firstLine="0"/>
        <w:jc w:val="center"/>
        <w:rPr>
          <w:rFonts w:ascii="Arial" w:hAnsi="Arial" w:cs="Arial"/>
          <w:b/>
          <w:sz w:val="24"/>
          <w:szCs w:val="24"/>
        </w:rPr>
      </w:pPr>
    </w:p>
    <w:p w:rsidR="009F2B6D" w:rsidRDefault="00D51120">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D51120" w:rsidRPr="00026B04" w:rsidRDefault="00D51120" w:rsidP="00D5112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026B04">
        <w:rPr>
          <w:rFonts w:ascii="Arial" w:eastAsia="Times New Roman" w:hAnsi="Arial" w:cs="Arial"/>
          <w:b/>
          <w:bCs/>
          <w:sz w:val="20"/>
          <w:szCs w:val="20"/>
          <w:shd w:val="clear" w:color="auto" w:fill="FFFFFF"/>
        </w:rPr>
        <w:t>A) Parte resolutiva</w:t>
      </w:r>
    </w:p>
    <w:p w:rsidR="00D51120" w:rsidRPr="00026B04" w:rsidRDefault="00D51120" w:rsidP="00D51120">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Expediente 14222/2022. Propuesta del Concejal delegado de Hacienda al Pleno de 19 de diciembre de 2022 de toma de conocimiento del informe definitivo de la fiscalización de la Cuenta General del ejercicio 2020 del Ayuntamiento de Candelaria, realizado por la Audiencia de Cuentas de Canarias, en virtud del artículo 223 del Texto Refundido de la Ley Reguladora de las Haciendas locales</w:t>
      </w:r>
    </w:p>
    <w:p w:rsidR="00D51120" w:rsidRPr="00026B04" w:rsidRDefault="00D51120" w:rsidP="00D51120">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Expediente 9964/2022. Propuesta del Concejal delegado de Hacienda de fecha 20 de diciembre de 2022 al Pleno de aprobación definitiva de la modificación de la Ordenanza Fiscal Reguladora del Impuesto sobre Bienes Inmuebles (IBI)</w:t>
      </w:r>
    </w:p>
    <w:p w:rsidR="00D51120" w:rsidRPr="00026B04" w:rsidRDefault="00D51120" w:rsidP="00D51120">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Expediente 14346/2022. Expediente 14346/2022. Moción del Grupo Mixto por registro de entrada de fecha 19 de diciembre de 2022 para la adopción de medidas para prevenir el riesgo de incendio en el municipio de Candelaria</w:t>
      </w:r>
    </w:p>
    <w:p w:rsidR="00D51120" w:rsidRPr="00026B04" w:rsidRDefault="00D51120" w:rsidP="00D51120">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Expediente 14236/2022. Moción del Grupo Mixto por registro de entrada de 11 de diciembre de 2022 para la mejora e implementación de sistemas inteligentes en la señalización turística del municipio de Candelaria</w:t>
      </w:r>
    </w:p>
    <w:p w:rsidR="00D51120" w:rsidRPr="00026B04" w:rsidRDefault="00D51120" w:rsidP="00D51120">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Urgencias</w:t>
      </w:r>
    </w:p>
    <w:p w:rsidR="00D51120" w:rsidRPr="00026B04" w:rsidRDefault="00D51120" w:rsidP="00D5112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026B04">
        <w:rPr>
          <w:rFonts w:ascii="Arial" w:eastAsia="Times New Roman" w:hAnsi="Arial" w:cs="Arial"/>
          <w:b/>
          <w:bCs/>
          <w:sz w:val="20"/>
          <w:szCs w:val="20"/>
          <w:shd w:val="clear" w:color="auto" w:fill="FFFFFF"/>
        </w:rPr>
        <w:t>B) Actividad de control</w:t>
      </w:r>
    </w:p>
    <w:p w:rsidR="00D51120" w:rsidRPr="00026B04" w:rsidRDefault="00D51120" w:rsidP="00D5112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6. Dacion de cuenta de los Decretos de la Alcaldía-Presidencia y de los Concejales delegados</w:t>
      </w:r>
    </w:p>
    <w:p w:rsidR="00D51120" w:rsidRPr="00026B04" w:rsidRDefault="00D51120" w:rsidP="00D5112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7. Informe de la Intervención sobre las resoluciones adoptadas contrarios a los reparos efectuados conforme la ley 27/2013, de 27 de diciembre, de racionalización y sostenibilidad de la Administración local</w:t>
      </w:r>
    </w:p>
    <w:p w:rsidR="00D51120" w:rsidRPr="00026B04" w:rsidRDefault="00D51120" w:rsidP="00D5112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026B04">
        <w:rPr>
          <w:rFonts w:ascii="Arial" w:eastAsia="Times New Roman" w:hAnsi="Arial" w:cs="Arial"/>
          <w:b/>
          <w:bCs/>
          <w:sz w:val="20"/>
          <w:szCs w:val="20"/>
          <w:shd w:val="clear" w:color="auto" w:fill="FFFFFF"/>
        </w:rPr>
        <w:t>C) Ruegos y preguntas</w:t>
      </w:r>
    </w:p>
    <w:p w:rsidR="00D51120" w:rsidRPr="00026B04" w:rsidRDefault="00D51120" w:rsidP="00D5112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026B04">
        <w:rPr>
          <w:rFonts w:ascii="Arial" w:eastAsia="Times New Roman" w:hAnsi="Arial" w:cs="Arial"/>
          <w:sz w:val="20"/>
          <w:szCs w:val="20"/>
          <w:shd w:val="clear" w:color="auto" w:fill="FFFFFF"/>
        </w:rPr>
        <w:t>8.</w:t>
      </w:r>
      <w:r w:rsidRPr="00026B04">
        <w:rPr>
          <w:rFonts w:ascii="Arial" w:eastAsia="Times New Roman" w:hAnsi="Arial" w:cs="Arial"/>
          <w:b/>
          <w:bCs/>
          <w:sz w:val="20"/>
          <w:szCs w:val="20"/>
          <w:shd w:val="clear" w:color="auto" w:fill="FFFFFF"/>
        </w:rPr>
        <w:t> </w:t>
      </w:r>
      <w:r w:rsidRPr="00026B04">
        <w:rPr>
          <w:rFonts w:ascii="Arial" w:eastAsia="Times New Roman" w:hAnsi="Arial" w:cs="Arial"/>
          <w:sz w:val="20"/>
          <w:szCs w:val="20"/>
          <w:shd w:val="clear" w:color="auto" w:fill="FFFFFF"/>
        </w:rPr>
        <w:t>Ruegos y preguntas</w:t>
      </w:r>
    </w:p>
    <w:bookmarkEnd w:id="0"/>
    <w:p w:rsidR="00D51120" w:rsidRDefault="00D51120">
      <w:pPr>
        <w:spacing w:after="84" w:line="251" w:lineRule="auto"/>
        <w:ind w:left="215" w:right="0" w:firstLine="0"/>
        <w:jc w:val="center"/>
      </w:pPr>
    </w:p>
    <w:sectPr w:rsidR="00D51120">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51" w:rsidRDefault="00D51120">
      <w:pPr>
        <w:spacing w:after="0" w:line="240" w:lineRule="auto"/>
      </w:pPr>
      <w:r>
        <w:separator/>
      </w:r>
    </w:p>
  </w:endnote>
  <w:endnote w:type="continuationSeparator" w:id="0">
    <w:p w:rsidR="00D61F51" w:rsidRDefault="00D5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16" w:rsidRDefault="00D51120">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BE1E16" w:rsidRDefault="00D51120">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BE1E16" w:rsidRDefault="00D51120">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16" w:rsidRDefault="00026B04">
    <w:pPr>
      <w:spacing w:after="0" w:line="251" w:lineRule="auto"/>
      <w:ind w:left="-1420" w:right="10278" w:firstLine="0"/>
      <w:jc w:val="left"/>
    </w:pPr>
  </w:p>
  <w:p w:rsidR="00BE1E16" w:rsidRDefault="00026B04">
    <w:pPr>
      <w:spacing w:after="0" w:line="251" w:lineRule="auto"/>
      <w:ind w:left="-1420" w:right="10278" w:firstLine="0"/>
      <w:jc w:val="left"/>
    </w:pPr>
  </w:p>
  <w:p w:rsidR="00BE1E16" w:rsidRDefault="00026B04">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51" w:rsidRDefault="00D51120">
      <w:pPr>
        <w:spacing w:after="0" w:line="240" w:lineRule="auto"/>
      </w:pPr>
      <w:r>
        <w:separator/>
      </w:r>
    </w:p>
  </w:footnote>
  <w:footnote w:type="continuationSeparator" w:id="0">
    <w:p w:rsidR="00D61F51" w:rsidRDefault="00D51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16" w:rsidRDefault="00D51120">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BE1E16" w:rsidRDefault="00D51120">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16" w:rsidRDefault="00D51120">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25EDE"/>
    <w:multiLevelType w:val="multilevel"/>
    <w:tmpl w:val="5AB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D"/>
    <w:rsid w:val="00026B04"/>
    <w:rsid w:val="004406D2"/>
    <w:rsid w:val="009F2B6D"/>
    <w:rsid w:val="00D51120"/>
    <w:rsid w:val="00D61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C426D-F458-41D7-A856-603D14BD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2024-01-18T12:10:00Z</dcterms:created>
  <dcterms:modified xsi:type="dcterms:W3CDTF">2024-01-23T09:10:00Z</dcterms:modified>
</cp:coreProperties>
</file>