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0C" w:rsidRDefault="00C14D97">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F9180C" w:rsidRDefault="00F9180C">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F9180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C14D97">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C14D97">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F9180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Pr="008944D7" w:rsidRDefault="008944D7">
            <w:pPr>
              <w:spacing w:after="84" w:line="251" w:lineRule="auto"/>
              <w:ind w:left="0" w:right="0" w:firstLine="0"/>
              <w:jc w:val="left"/>
              <w:rPr>
                <w:rFonts w:ascii="Arial" w:hAnsi="Arial" w:cs="Arial"/>
                <w:sz w:val="20"/>
                <w:szCs w:val="20"/>
              </w:rPr>
            </w:pPr>
            <w:r>
              <w:rPr>
                <w:rFonts w:ascii="Arial" w:hAnsi="Arial" w:cs="Arial"/>
                <w:sz w:val="20"/>
                <w:szCs w:val="20"/>
              </w:rPr>
              <w:t>PLN/2021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Pr="008944D7" w:rsidRDefault="008944D7">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F9180C" w:rsidRDefault="00C14D97">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F9180C" w:rsidRDefault="00C14D97" w:rsidP="008944D7">
      <w:pPr>
        <w:spacing w:after="84" w:line="251" w:lineRule="auto"/>
        <w:ind w:left="215" w:right="0" w:firstLine="493"/>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F9180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C14D97">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F9180C" w:rsidRDefault="00C14D97">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E02217" w:rsidP="008944D7">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F9180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C14D97">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8944D7" w:rsidP="008944D7">
            <w:pPr>
              <w:spacing w:after="84" w:line="251" w:lineRule="auto"/>
              <w:ind w:left="0" w:right="0" w:firstLine="0"/>
              <w:jc w:val="left"/>
              <w:rPr>
                <w:rFonts w:ascii="Arial" w:hAnsi="Arial" w:cs="Arial"/>
                <w:sz w:val="20"/>
                <w:szCs w:val="20"/>
              </w:rPr>
            </w:pPr>
            <w:r>
              <w:rPr>
                <w:rFonts w:ascii="Arial" w:hAnsi="Arial" w:cs="Arial"/>
                <w:sz w:val="20"/>
                <w:szCs w:val="20"/>
              </w:rPr>
              <w:t>1ª convocatoria 29 de abril de 2021 a las 9:00</w:t>
            </w:r>
          </w:p>
          <w:p w:rsidR="008944D7" w:rsidRDefault="008944D7" w:rsidP="008944D7">
            <w:pPr>
              <w:spacing w:after="84" w:line="251" w:lineRule="auto"/>
              <w:ind w:left="0" w:right="0" w:firstLine="0"/>
              <w:jc w:val="left"/>
              <w:rPr>
                <w:rFonts w:ascii="Arial" w:hAnsi="Arial" w:cs="Arial"/>
                <w:sz w:val="20"/>
                <w:szCs w:val="20"/>
              </w:rPr>
            </w:pPr>
            <w:r>
              <w:rPr>
                <w:rFonts w:ascii="Arial" w:hAnsi="Arial" w:cs="Arial"/>
                <w:sz w:val="20"/>
                <w:szCs w:val="20"/>
              </w:rPr>
              <w:t>2ª convocatoria 4 de mayo de 2021 a las 9:00</w:t>
            </w:r>
          </w:p>
        </w:tc>
      </w:tr>
      <w:tr w:rsidR="00F9180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C14D97">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F9180C" w:rsidRDefault="00F9180C">
            <w:pPr>
              <w:spacing w:after="84" w:line="251" w:lineRule="auto"/>
              <w:ind w:left="0" w:right="0" w:firstLine="0"/>
              <w:jc w:val="left"/>
              <w:rPr>
                <w:rFonts w:ascii="Arial" w:hAnsi="Arial" w:cs="Arial"/>
                <w:b/>
                <w:sz w:val="20"/>
                <w:szCs w:val="20"/>
              </w:rPr>
            </w:pPr>
          </w:p>
          <w:p w:rsidR="00F9180C" w:rsidRDefault="00F9180C">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0C" w:rsidRDefault="008944D7" w:rsidP="008944D7">
            <w:pPr>
              <w:spacing w:after="84" w:line="251" w:lineRule="auto"/>
              <w:ind w:left="0" w:right="0" w:firstLine="0"/>
              <w:jc w:val="left"/>
              <w:rPr>
                <w:rFonts w:ascii="Arial" w:hAnsi="Arial" w:cs="Arial"/>
                <w:sz w:val="20"/>
                <w:szCs w:val="20"/>
              </w:rPr>
            </w:pPr>
            <w:r>
              <w:rPr>
                <w:rFonts w:ascii="Arial" w:hAnsi="Arial" w:cs="Arial"/>
                <w:sz w:val="20"/>
                <w:szCs w:val="20"/>
              </w:rPr>
              <w:t>Salón de Plenos</w:t>
            </w:r>
            <w:r w:rsidR="00C14D97">
              <w:rPr>
                <w:rFonts w:ascii="Arial" w:hAnsi="Arial" w:cs="Arial"/>
                <w:sz w:val="20"/>
                <w:szCs w:val="20"/>
              </w:rPr>
              <w:t xml:space="preserve"> del Ayuntamiento</w:t>
            </w:r>
          </w:p>
          <w:p w:rsidR="00C14D97" w:rsidRDefault="00C14D97" w:rsidP="008944D7">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F9180C" w:rsidRDefault="00F9180C">
      <w:pPr>
        <w:spacing w:after="84" w:line="251" w:lineRule="auto"/>
        <w:ind w:left="215" w:right="0" w:firstLine="0"/>
        <w:jc w:val="center"/>
        <w:rPr>
          <w:rFonts w:ascii="Arial" w:hAnsi="Arial" w:cs="Arial"/>
          <w:b/>
          <w:sz w:val="24"/>
          <w:szCs w:val="24"/>
        </w:rPr>
      </w:pPr>
    </w:p>
    <w:p w:rsidR="00F9180C" w:rsidRDefault="00C14D97">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C14D97" w:rsidRPr="00EC0AAB" w:rsidRDefault="00C14D97" w:rsidP="00C14D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EC0AAB">
        <w:rPr>
          <w:rFonts w:ascii="Arial" w:eastAsia="Times New Roman" w:hAnsi="Arial" w:cs="Arial"/>
          <w:b/>
          <w:bCs/>
          <w:sz w:val="20"/>
          <w:szCs w:val="20"/>
        </w:rPr>
        <w:t>A) Parte resolutiva</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3358/2021. Propuesta del Concejal delegado de Hacienda de 14 de abril de 2021 al Pleno del informe de Tesorería de 14 de abril de 2021 del periodo medio de pago del Primer Trimestre de 2021 conforme el Real Decreto 1040/2017, de 22 de diciembre.</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3357/2021. Propuesta del Concejal delegado de Hacienda de 14 de abril de 2021 al Pleno de toma de conocimiento del informe del Tesorería de 14 de abril de 2021 del cumplimiento de plazos de la Ley 15/2010 correspondiente al Primer Trimestre 2021.</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3519/2021. Propuesta del Concejal de Hacienda de 21 de abril de 2021 al Pleno de aprobación inicial del expediente de modificación presupuestaria nº 3519/2021, por Suplemento de Créditos financiado con remanente de tesorería para gastos generales por importe de 471.000,63 euros.</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2688/2021. Propuesta del Concejal delegado de Hacienda de 21 de abril de 2021 al Pleno de aprobación inicial de la modificación presupuestaria nº 2688/2021, por créditos extraordinarios financiado con remanente de tesorería para gastos generales por importe 4.034.835,71 Euros.</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4148/2020. Propuesta del Concejal delegado de Hacienda de 21 de abril de 2021 al Pleno de desestimación de las alegaciones y de aprobación definitiva de la Ordenanza General de Subvenciones del Ayuntamiento de Candelaria.</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1178/2021. Propuesta de la Alcaldesa-Presidenta de fecha 21 de abril de 2021 al Pleno para la aprobación de la adjudicación del expediente del contrato basado en el Acuerdo Marco para la contratación del suministro de electricidad en alta y baja tensión para la Central de Contratación de la Federación Española de Municipios y Provincias (FEMP) LOTE 7 (Islas Canarias).</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1147/2021. Propuesta de la Alcaldesa-Presidenta de fecha 21 de abril de 2021 al Pleno sobre aprobación de la propuesta de la estructura de costes del servicio de gestión de residuos, limpieza viaria y del litoral del municipio de Candelaria según el informe técnico de 21 de abril de 2021.</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3351/2021. Propuesta de la Concejal Delegada de Servicios Sociales, Igualdad y Sanidad de fecha 21 de abril de 2021 al Pleno para la Adhesión a la Red Española de Ciudades Saludables RECS, a través de la Federación Española de Municipios y Provincias FEMP, mediante compromiso político municipal de adscripción a la Sección, expresado por acuerdo del Pleno.</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lastRenderedPageBreak/>
        <w:t>Expediente 3033/2021. Propuesta de la Concejal Delegada de Servicios Sociales, Igualdad y Sanidad de fecha 13 de abril de 2021 al Pleno para la adhesión a la Declaración Institucional del Día Mundial contra la Esclavitud Infantil (16 de abril) realizada por la Comisión de Cooperación, Juventud, Igualdad y Diversidad de la FECAM</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3595/2021. Moción del Grupo Mixto por registro de entrada de 20 de abril de 2021 para la adhesión al Acuerdo Marco de la FEMP para la gestión y recaudación de las multas de tráfico.</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3467/2020. Moción del Grupo Mixto por RE (2021-E-RE-1269) de 19 de abril de 2021 para la redacción de un Plan Municipal de Pavimentación de las Vías Públicas de Candelaria.</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2642/2020. Moción del Grupo Mixto por RE (2021-E-RE-1259) de 18 de abril de 2021 para la reiteración de la Moción del expediente de desafectación de terrenos innecesarios para el dominio público marítimo terrestre en el litoral de Candelaria (Pleno 24-9-2020).</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Expediente 3468/2021. Toma de conocimiento de la renuncia a la condición de concejal de Don José Fernando Gómez Martín por registro de entrada de 19 de abril de 2021 y posteriores renuncias de los candidatos 2,3,4 y 5 de la lista electoral de "Vecinos por Candelaria" por registro de entrada de 20 y 21 de abril de 2021.</w:t>
      </w:r>
    </w:p>
    <w:p w:rsidR="00C14D97" w:rsidRPr="00EC0AAB" w:rsidRDefault="00C14D97" w:rsidP="00C14D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0AAB">
        <w:rPr>
          <w:rFonts w:ascii="Arial" w:eastAsia="Times New Roman" w:hAnsi="Arial" w:cs="Arial"/>
          <w:sz w:val="20"/>
          <w:szCs w:val="20"/>
        </w:rPr>
        <w:t>Urgencias</w:t>
      </w:r>
    </w:p>
    <w:p w:rsidR="00C14D97" w:rsidRPr="00EC0AAB" w:rsidRDefault="00C14D97" w:rsidP="00C14D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C0AAB">
        <w:rPr>
          <w:rFonts w:ascii="Arial" w:eastAsia="Times New Roman" w:hAnsi="Arial" w:cs="Arial"/>
          <w:b/>
          <w:bCs/>
          <w:sz w:val="20"/>
          <w:szCs w:val="20"/>
        </w:rPr>
        <w:t>B) Actividad de control</w:t>
      </w:r>
    </w:p>
    <w:p w:rsidR="00C14D97" w:rsidRPr="00EC0AAB" w:rsidRDefault="00C14D97" w:rsidP="00C14D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C0AAB">
        <w:rPr>
          <w:rFonts w:ascii="Arial" w:eastAsia="Times New Roman" w:hAnsi="Arial" w:cs="Arial"/>
          <w:b/>
          <w:bCs/>
          <w:sz w:val="20"/>
          <w:szCs w:val="20"/>
        </w:rPr>
        <w:t>15. </w:t>
      </w:r>
      <w:r w:rsidRPr="00EC0AAB">
        <w:rPr>
          <w:rFonts w:ascii="Arial" w:eastAsia="Times New Roman" w:hAnsi="Arial" w:cs="Arial"/>
          <w:sz w:val="20"/>
          <w:szCs w:val="20"/>
        </w:rPr>
        <w:t>Dación de cuenta de los Decretos de la Alcaldía-</w:t>
      </w:r>
      <w:proofErr w:type="spellStart"/>
      <w:r w:rsidRPr="00EC0AAB">
        <w:rPr>
          <w:rFonts w:ascii="Arial" w:eastAsia="Times New Roman" w:hAnsi="Arial" w:cs="Arial"/>
          <w:sz w:val="20"/>
          <w:szCs w:val="20"/>
        </w:rPr>
        <w:t>Presdencia</w:t>
      </w:r>
      <w:proofErr w:type="spellEnd"/>
      <w:r w:rsidRPr="00EC0AAB">
        <w:rPr>
          <w:rFonts w:ascii="Arial" w:eastAsia="Times New Roman" w:hAnsi="Arial" w:cs="Arial"/>
          <w:sz w:val="20"/>
          <w:szCs w:val="20"/>
        </w:rPr>
        <w:t xml:space="preserve"> y de los Concejales delegados</w:t>
      </w:r>
    </w:p>
    <w:p w:rsidR="00C14D97" w:rsidRPr="00EC0AAB" w:rsidRDefault="00C14D97" w:rsidP="00C14D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C0AAB">
        <w:rPr>
          <w:rFonts w:ascii="Arial" w:eastAsia="Times New Roman" w:hAnsi="Arial" w:cs="Arial"/>
          <w:sz w:val="20"/>
          <w:szCs w:val="20"/>
        </w:rPr>
        <w:t>16.Informe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C14D97" w:rsidRPr="00EC0AAB" w:rsidRDefault="00C14D97" w:rsidP="00C14D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C0AAB">
        <w:rPr>
          <w:rFonts w:ascii="Arial" w:eastAsia="Times New Roman" w:hAnsi="Arial" w:cs="Arial"/>
          <w:b/>
          <w:bCs/>
          <w:sz w:val="20"/>
          <w:szCs w:val="20"/>
        </w:rPr>
        <w:t>C) Ruegos y preguntas</w:t>
      </w:r>
    </w:p>
    <w:p w:rsidR="00C14D97" w:rsidRPr="00EC0AAB" w:rsidRDefault="00C14D97" w:rsidP="00C14D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C0AAB">
        <w:rPr>
          <w:rFonts w:ascii="Arial" w:eastAsia="Times New Roman" w:hAnsi="Arial" w:cs="Arial"/>
          <w:sz w:val="20"/>
          <w:szCs w:val="20"/>
        </w:rPr>
        <w:t>17.Ruegos y preguntas</w:t>
      </w:r>
    </w:p>
    <w:bookmarkEnd w:id="0"/>
    <w:p w:rsidR="00C14D97" w:rsidRPr="00EC0AAB" w:rsidRDefault="00C14D97">
      <w:pPr>
        <w:spacing w:after="84" w:line="251" w:lineRule="auto"/>
        <w:ind w:left="215" w:right="0" w:firstLine="0"/>
        <w:jc w:val="center"/>
        <w:rPr>
          <w:sz w:val="20"/>
          <w:szCs w:val="20"/>
        </w:rPr>
      </w:pPr>
    </w:p>
    <w:sectPr w:rsidR="00C14D97" w:rsidRPr="00EC0AAB">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4E" w:rsidRDefault="00C14D97">
      <w:pPr>
        <w:spacing w:after="0" w:line="240" w:lineRule="auto"/>
      </w:pPr>
      <w:r>
        <w:separator/>
      </w:r>
    </w:p>
  </w:endnote>
  <w:endnote w:type="continuationSeparator" w:id="0">
    <w:p w:rsidR="00F45F4E" w:rsidRDefault="00C1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FF" w:rsidRDefault="00C14D97">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7B02FF" w:rsidRDefault="00C14D97">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B02FF" w:rsidRDefault="00C14D97">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FF" w:rsidRDefault="00EC0AAB">
    <w:pPr>
      <w:spacing w:after="0" w:line="251" w:lineRule="auto"/>
      <w:ind w:left="-1420" w:right="10278" w:firstLine="0"/>
      <w:jc w:val="left"/>
    </w:pPr>
  </w:p>
  <w:p w:rsidR="007B02FF" w:rsidRDefault="00EC0AAB">
    <w:pPr>
      <w:spacing w:after="0" w:line="251" w:lineRule="auto"/>
      <w:ind w:left="-1420" w:right="10278" w:firstLine="0"/>
      <w:jc w:val="left"/>
    </w:pPr>
  </w:p>
  <w:p w:rsidR="007B02FF" w:rsidRDefault="00EC0AAB">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4E" w:rsidRDefault="00C14D97">
      <w:pPr>
        <w:spacing w:after="0" w:line="240" w:lineRule="auto"/>
      </w:pPr>
      <w:r>
        <w:separator/>
      </w:r>
    </w:p>
  </w:footnote>
  <w:footnote w:type="continuationSeparator" w:id="0">
    <w:p w:rsidR="00F45F4E" w:rsidRDefault="00C1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FF" w:rsidRDefault="00C14D97">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7B02FF" w:rsidRDefault="00C14D97">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FF" w:rsidRDefault="00C14D97">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30E40"/>
    <w:multiLevelType w:val="multilevel"/>
    <w:tmpl w:val="BF24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0C"/>
    <w:rsid w:val="008944D7"/>
    <w:rsid w:val="00C14D97"/>
    <w:rsid w:val="00E02217"/>
    <w:rsid w:val="00EC0AAB"/>
    <w:rsid w:val="00F45F4E"/>
    <w:rsid w:val="00F91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51658-819B-42AE-904A-F865BB13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2024-01-18T12:56:00Z</dcterms:created>
  <dcterms:modified xsi:type="dcterms:W3CDTF">2024-01-23T08:35:00Z</dcterms:modified>
</cp:coreProperties>
</file>