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7E" w:rsidRDefault="003B09E5">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BA087E" w:rsidRDefault="00BA087E">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BA087E">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Default="003B09E5">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Default="003B09E5">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BA087E">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Pr="003B09E5" w:rsidRDefault="00355CD7">
            <w:pPr>
              <w:spacing w:after="84" w:line="251" w:lineRule="auto"/>
              <w:ind w:left="0" w:right="0" w:firstLine="0"/>
              <w:jc w:val="left"/>
              <w:rPr>
                <w:rFonts w:ascii="Arial" w:hAnsi="Arial" w:cs="Arial"/>
                <w:sz w:val="20"/>
                <w:szCs w:val="20"/>
              </w:rPr>
            </w:pPr>
            <w:r>
              <w:rPr>
                <w:rFonts w:ascii="Arial" w:hAnsi="Arial" w:cs="Arial"/>
                <w:sz w:val="20"/>
                <w:szCs w:val="20"/>
              </w:rPr>
              <w:t>PLN/2021/</w:t>
            </w:r>
            <w:r w:rsidR="003B09E5">
              <w:rPr>
                <w:rFonts w:ascii="Arial" w:hAnsi="Arial" w:cs="Arial"/>
                <w:sz w:val="20"/>
                <w:szCs w:val="20"/>
              </w:rPr>
              <w:t>10</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Pr="003B09E5" w:rsidRDefault="003B09E5">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BA087E" w:rsidRDefault="003B09E5">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BA087E" w:rsidRDefault="003B09E5">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BA087E">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Default="003B09E5">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BA087E" w:rsidRDefault="003B09E5">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Default="003B09E5" w:rsidP="003B09E5">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BA087E">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Default="003B09E5">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Default="003B09E5" w:rsidP="003B09E5">
            <w:pPr>
              <w:spacing w:after="84" w:line="251" w:lineRule="auto"/>
              <w:ind w:left="0" w:right="0" w:firstLine="0"/>
              <w:jc w:val="left"/>
              <w:rPr>
                <w:rFonts w:ascii="Arial" w:hAnsi="Arial" w:cs="Arial"/>
                <w:sz w:val="20"/>
                <w:szCs w:val="20"/>
              </w:rPr>
            </w:pPr>
            <w:r>
              <w:rPr>
                <w:rFonts w:ascii="Arial" w:hAnsi="Arial" w:cs="Arial"/>
                <w:sz w:val="20"/>
                <w:szCs w:val="20"/>
              </w:rPr>
              <w:t>1ª convocatoria: 28 de octubre de 2021 a las 9:00</w:t>
            </w:r>
          </w:p>
          <w:p w:rsidR="003B09E5" w:rsidRDefault="003B09E5" w:rsidP="003B09E5">
            <w:pPr>
              <w:spacing w:after="84" w:line="251" w:lineRule="auto"/>
              <w:ind w:left="0" w:right="0" w:firstLine="0"/>
              <w:jc w:val="left"/>
              <w:rPr>
                <w:rFonts w:ascii="Arial" w:hAnsi="Arial" w:cs="Arial"/>
                <w:sz w:val="20"/>
                <w:szCs w:val="20"/>
              </w:rPr>
            </w:pPr>
            <w:r>
              <w:rPr>
                <w:rFonts w:ascii="Arial" w:hAnsi="Arial" w:cs="Arial"/>
                <w:sz w:val="20"/>
                <w:szCs w:val="20"/>
              </w:rPr>
              <w:t>2ª convocatoria: 3 de noviembre de 2021 a las 9:00</w:t>
            </w:r>
          </w:p>
        </w:tc>
      </w:tr>
      <w:tr w:rsidR="00BA087E">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Default="003B09E5">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BA087E" w:rsidRDefault="00BA087E">
            <w:pPr>
              <w:spacing w:after="84" w:line="251" w:lineRule="auto"/>
              <w:ind w:left="0" w:right="0" w:firstLine="0"/>
              <w:jc w:val="left"/>
              <w:rPr>
                <w:rFonts w:ascii="Arial" w:hAnsi="Arial" w:cs="Arial"/>
                <w:b/>
                <w:sz w:val="20"/>
                <w:szCs w:val="20"/>
              </w:rPr>
            </w:pPr>
          </w:p>
          <w:p w:rsidR="00BA087E" w:rsidRDefault="00BA087E">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87E" w:rsidRDefault="003B09E5" w:rsidP="003B09E5">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3B09E5" w:rsidRDefault="003B09E5" w:rsidP="003B09E5">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BA087E" w:rsidRDefault="00BA087E">
      <w:pPr>
        <w:spacing w:after="84" w:line="251" w:lineRule="auto"/>
        <w:ind w:left="215" w:right="0" w:firstLine="0"/>
        <w:jc w:val="center"/>
        <w:rPr>
          <w:rFonts w:ascii="Arial" w:hAnsi="Arial" w:cs="Arial"/>
          <w:b/>
          <w:sz w:val="24"/>
          <w:szCs w:val="24"/>
        </w:rPr>
      </w:pPr>
    </w:p>
    <w:p w:rsidR="00BA087E" w:rsidRDefault="003B09E5">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3B09E5" w:rsidRPr="00EE1174" w:rsidRDefault="003B09E5" w:rsidP="003B09E5">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EE1174">
        <w:rPr>
          <w:rFonts w:ascii="Arial" w:eastAsia="Times New Roman" w:hAnsi="Arial" w:cs="Arial"/>
          <w:b/>
          <w:bCs/>
          <w:sz w:val="20"/>
          <w:szCs w:val="20"/>
        </w:rPr>
        <w:t>A) Parte resolutiva</w:t>
      </w:r>
    </w:p>
    <w:p w:rsidR="003B09E5" w:rsidRPr="00EE1174" w:rsidRDefault="003B09E5" w:rsidP="003B09E5">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E1174">
        <w:rPr>
          <w:rFonts w:ascii="Arial" w:eastAsia="Times New Roman" w:hAnsi="Arial" w:cs="Arial"/>
          <w:sz w:val="20"/>
          <w:szCs w:val="20"/>
        </w:rPr>
        <w:t>Aprobación del actas de las sesiones ordinarias de los plenos de 24 de junio, 30 de julio y 30 de septiembre de 2021</w:t>
      </w:r>
    </w:p>
    <w:p w:rsidR="003B09E5" w:rsidRPr="00EE1174" w:rsidRDefault="003B09E5" w:rsidP="003B09E5">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E1174">
        <w:rPr>
          <w:rFonts w:ascii="Arial" w:eastAsia="Times New Roman" w:hAnsi="Arial" w:cs="Arial"/>
          <w:sz w:val="20"/>
          <w:szCs w:val="20"/>
        </w:rPr>
        <w:t>Expediente 10624/2021. Propuesta del Concejal delegado de Hacienda de 18 de octubre de 2021 para dar cuenta al Pleno del Informe de Morosidad, regulado en la Ley 15/2010, de 5 de julio, de modificación de la Ley 3/2004, de 29 de diciembre, por la que se establecen medidas de lucha contra la morosidad en las operaciones comerciales, correspondiente al Tercer semestre año 2021.</w:t>
      </w:r>
    </w:p>
    <w:p w:rsidR="003B09E5" w:rsidRPr="00EE1174" w:rsidRDefault="003B09E5" w:rsidP="003B09E5">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E1174">
        <w:rPr>
          <w:rFonts w:ascii="Arial" w:eastAsia="Times New Roman" w:hAnsi="Arial" w:cs="Arial"/>
          <w:sz w:val="20"/>
          <w:szCs w:val="20"/>
        </w:rPr>
        <w:t>Expediente 10490/2021. Propuesta del Concejal delegado de Hacienda de 18 de octubre de 2021 para dar cuenta al Pleno del Periodo Medio de Pago previsto en el Real Decreto 1040/2017, de 22 de diciembre, de Estabilidad Presupuestaria y Sostenibilidad Financiera, correspondiente al Tercer Trimestre del año 2021.</w:t>
      </w:r>
    </w:p>
    <w:p w:rsidR="003B09E5" w:rsidRPr="00EE1174" w:rsidRDefault="003B09E5" w:rsidP="003B09E5">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E1174">
        <w:rPr>
          <w:rFonts w:ascii="Arial" w:eastAsia="Times New Roman" w:hAnsi="Arial" w:cs="Arial"/>
          <w:sz w:val="20"/>
          <w:szCs w:val="20"/>
        </w:rPr>
        <w:t>Expediente 10357/2021. Propuesta del Concejal delegado de Hacienda de 18 de octubre de 2021 para dar cuenta al Pleno del Informe de Intervención de Ejecución del Presupuesto, Cumplimiento de los Principios de Estabilidad Presupuestaria, Regla del Gasto y Deuda Pública correspondiente al Tercer trimestre del ejercicio 2021.</w:t>
      </w:r>
    </w:p>
    <w:p w:rsidR="003B09E5" w:rsidRPr="00EE1174" w:rsidRDefault="003B09E5" w:rsidP="003B09E5">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E1174">
        <w:rPr>
          <w:rFonts w:ascii="Arial" w:eastAsia="Times New Roman" w:hAnsi="Arial" w:cs="Arial"/>
          <w:sz w:val="20"/>
          <w:szCs w:val="20"/>
        </w:rPr>
        <w:t>Expediente 10654/2021. Tomar conocimiento por el Pleno del Ayuntamiento de Candelaria de la instancia presentada por Registro de entrada nº (2021-E-RE-443) de 17 de octubre de 2021 por la que Don Pedro Manuel Pérez Viña, (número 1 de la lista de “Ciudadanos-Partido de la Ciudadanía (Cs)” en las elecciones de 26 de mayo de 2019) renuncia al cargo de concejal del Ayuntamiento de Candelaria.</w:t>
      </w:r>
    </w:p>
    <w:p w:rsidR="003B09E5" w:rsidRPr="00EE1174" w:rsidRDefault="003B09E5" w:rsidP="003B09E5">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E1174">
        <w:rPr>
          <w:rFonts w:ascii="Arial" w:eastAsia="Times New Roman" w:hAnsi="Arial" w:cs="Arial"/>
          <w:sz w:val="20"/>
          <w:szCs w:val="20"/>
        </w:rPr>
        <w:t>Expediente 7020/2021. Propuesta de la Alcaldesa-Presidenta de fecha 20 de octubre de 2021 sobre la conformidad al proyecto de remodelación de la Plaza de la Basílica y su entorno.</w:t>
      </w:r>
    </w:p>
    <w:p w:rsidR="003B09E5" w:rsidRPr="00EE1174" w:rsidRDefault="003B09E5" w:rsidP="003B09E5">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E1174">
        <w:rPr>
          <w:rFonts w:ascii="Arial" w:eastAsia="Times New Roman" w:hAnsi="Arial" w:cs="Arial"/>
          <w:sz w:val="20"/>
          <w:szCs w:val="20"/>
        </w:rPr>
        <w:t>Expediente 10613/2021. Moción del Grupo Mixto por registro de entrada 2021-E-RE-4428 de 16 de octubre de 2021 para solicitar la paralización del trámite por el que se pretende la aprobación de la propuesta de Decreto de Catálogo de Prestaciones y Servicios del Sistema Público de Servicios Sociales de Canarias.</w:t>
      </w:r>
    </w:p>
    <w:p w:rsidR="003B09E5" w:rsidRPr="00EE1174" w:rsidRDefault="003B09E5" w:rsidP="003B09E5">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E1174">
        <w:rPr>
          <w:rFonts w:ascii="Arial" w:eastAsia="Times New Roman" w:hAnsi="Arial" w:cs="Arial"/>
          <w:sz w:val="20"/>
          <w:szCs w:val="20"/>
        </w:rPr>
        <w:t xml:space="preserve">Expediente 10614/2021. Moción del Grupo Mixto por registro de entrada de fecha 18 de octubre de 2021 para iniciar el estudio, elaboración del proyecto y realización de las obras de ampliación de la calle la Capitana en </w:t>
      </w:r>
      <w:proofErr w:type="spellStart"/>
      <w:r w:rsidRPr="00EE1174">
        <w:rPr>
          <w:rFonts w:ascii="Arial" w:eastAsia="Times New Roman" w:hAnsi="Arial" w:cs="Arial"/>
          <w:sz w:val="20"/>
          <w:szCs w:val="20"/>
        </w:rPr>
        <w:t>Igueste</w:t>
      </w:r>
      <w:proofErr w:type="spellEnd"/>
      <w:r w:rsidRPr="00EE1174">
        <w:rPr>
          <w:rFonts w:ascii="Arial" w:eastAsia="Times New Roman" w:hAnsi="Arial" w:cs="Arial"/>
          <w:sz w:val="20"/>
          <w:szCs w:val="20"/>
        </w:rPr>
        <w:t xml:space="preserve"> de Candelaria</w:t>
      </w:r>
    </w:p>
    <w:p w:rsidR="003B09E5" w:rsidRPr="00EE1174" w:rsidRDefault="003B09E5" w:rsidP="003B09E5">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E1174">
        <w:rPr>
          <w:rFonts w:ascii="Arial" w:eastAsia="Times New Roman" w:hAnsi="Arial" w:cs="Arial"/>
          <w:sz w:val="20"/>
          <w:szCs w:val="20"/>
        </w:rPr>
        <w:t>Urgencias</w:t>
      </w:r>
    </w:p>
    <w:p w:rsidR="003B09E5" w:rsidRPr="00EE1174" w:rsidRDefault="003B09E5" w:rsidP="003B09E5">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E1174">
        <w:rPr>
          <w:rFonts w:ascii="Arial" w:eastAsia="Times New Roman" w:hAnsi="Arial" w:cs="Arial"/>
          <w:b/>
          <w:bCs/>
          <w:sz w:val="20"/>
          <w:szCs w:val="20"/>
        </w:rPr>
        <w:t>B) Actividad de control</w:t>
      </w:r>
    </w:p>
    <w:p w:rsidR="003B09E5" w:rsidRPr="00EE1174" w:rsidRDefault="003B09E5" w:rsidP="003B09E5">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E1174">
        <w:rPr>
          <w:rFonts w:ascii="Arial" w:eastAsia="Times New Roman" w:hAnsi="Arial" w:cs="Arial"/>
          <w:sz w:val="20"/>
          <w:szCs w:val="20"/>
        </w:rPr>
        <w:lastRenderedPageBreak/>
        <w:t xml:space="preserve">10. </w:t>
      </w:r>
      <w:proofErr w:type="spellStart"/>
      <w:r w:rsidRPr="00EE1174">
        <w:rPr>
          <w:rFonts w:ascii="Arial" w:eastAsia="Times New Roman" w:hAnsi="Arial" w:cs="Arial"/>
          <w:sz w:val="20"/>
          <w:szCs w:val="20"/>
        </w:rPr>
        <w:t>Dacion</w:t>
      </w:r>
      <w:proofErr w:type="spellEnd"/>
      <w:r w:rsidRPr="00EE1174">
        <w:rPr>
          <w:rFonts w:ascii="Arial" w:eastAsia="Times New Roman" w:hAnsi="Arial" w:cs="Arial"/>
          <w:sz w:val="20"/>
          <w:szCs w:val="20"/>
        </w:rPr>
        <w:t xml:space="preserve"> </w:t>
      </w:r>
      <w:proofErr w:type="spellStart"/>
      <w:r w:rsidRPr="00EE1174">
        <w:rPr>
          <w:rFonts w:ascii="Arial" w:eastAsia="Times New Roman" w:hAnsi="Arial" w:cs="Arial"/>
          <w:sz w:val="20"/>
          <w:szCs w:val="20"/>
        </w:rPr>
        <w:t>de</w:t>
      </w:r>
      <w:proofErr w:type="spellEnd"/>
      <w:r w:rsidRPr="00EE1174">
        <w:rPr>
          <w:rFonts w:ascii="Arial" w:eastAsia="Times New Roman" w:hAnsi="Arial" w:cs="Arial"/>
          <w:sz w:val="20"/>
          <w:szCs w:val="20"/>
        </w:rPr>
        <w:t xml:space="preserve"> cuenta de los Decretos de la Alcaldía y de los Concejales delegados desde la última sesión ordinaria</w:t>
      </w:r>
    </w:p>
    <w:p w:rsidR="003B09E5" w:rsidRPr="00EE1174" w:rsidRDefault="003B09E5" w:rsidP="003B09E5">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E1174">
        <w:rPr>
          <w:rFonts w:ascii="Arial" w:eastAsia="Times New Roman" w:hAnsi="Arial" w:cs="Arial"/>
          <w:sz w:val="20"/>
          <w:szCs w:val="20"/>
        </w:rPr>
        <w:t xml:space="preserve">11.Informe de la Intervención sobre las resoluciones adoptadas contrarios a los reparos efectuados conforme la ley 27/2013, de 27 de diciembre, de racionalización y </w:t>
      </w:r>
      <w:proofErr w:type="spellStart"/>
      <w:r w:rsidRPr="00EE1174">
        <w:rPr>
          <w:rFonts w:ascii="Arial" w:eastAsia="Times New Roman" w:hAnsi="Arial" w:cs="Arial"/>
          <w:sz w:val="20"/>
          <w:szCs w:val="20"/>
        </w:rPr>
        <w:t>sostenbilidad</w:t>
      </w:r>
      <w:proofErr w:type="spellEnd"/>
      <w:r w:rsidRPr="00EE1174">
        <w:rPr>
          <w:rFonts w:ascii="Arial" w:eastAsia="Times New Roman" w:hAnsi="Arial" w:cs="Arial"/>
          <w:sz w:val="20"/>
          <w:szCs w:val="20"/>
        </w:rPr>
        <w:t xml:space="preserve"> de la Administración local</w:t>
      </w:r>
    </w:p>
    <w:p w:rsidR="003B09E5" w:rsidRPr="00EE1174" w:rsidRDefault="003B09E5" w:rsidP="003B09E5">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E1174">
        <w:rPr>
          <w:rFonts w:ascii="Arial" w:eastAsia="Times New Roman" w:hAnsi="Arial" w:cs="Arial"/>
          <w:b/>
          <w:bCs/>
          <w:sz w:val="20"/>
          <w:szCs w:val="20"/>
        </w:rPr>
        <w:t>C) Ruegos y preguntas</w:t>
      </w:r>
    </w:p>
    <w:p w:rsidR="003B09E5" w:rsidRPr="003B09E5" w:rsidRDefault="003B09E5" w:rsidP="003B09E5">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3"/>
          <w:szCs w:val="23"/>
        </w:rPr>
      </w:pPr>
      <w:r w:rsidRPr="00EE1174">
        <w:rPr>
          <w:rFonts w:ascii="Arial" w:eastAsia="Times New Roman" w:hAnsi="Arial" w:cs="Arial"/>
          <w:sz w:val="20"/>
          <w:szCs w:val="20"/>
        </w:rPr>
        <w:t>12.Ruegos y preguntas</w:t>
      </w:r>
      <w:bookmarkEnd w:id="0"/>
    </w:p>
    <w:p w:rsidR="003B09E5" w:rsidRDefault="003B09E5">
      <w:pPr>
        <w:spacing w:after="84" w:line="251" w:lineRule="auto"/>
        <w:ind w:left="215" w:right="0" w:firstLine="0"/>
        <w:jc w:val="center"/>
      </w:pPr>
    </w:p>
    <w:sectPr w:rsidR="003B09E5">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76" w:rsidRDefault="003B09E5">
      <w:pPr>
        <w:spacing w:after="0" w:line="240" w:lineRule="auto"/>
      </w:pPr>
      <w:r>
        <w:separator/>
      </w:r>
    </w:p>
  </w:endnote>
  <w:endnote w:type="continuationSeparator" w:id="0">
    <w:p w:rsidR="00433976" w:rsidRDefault="003B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36" w:rsidRDefault="003B09E5">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3B2236" w:rsidRDefault="003B09E5">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3B2236" w:rsidRDefault="003B09E5">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36" w:rsidRDefault="00EE1174">
    <w:pPr>
      <w:spacing w:after="0" w:line="251" w:lineRule="auto"/>
      <w:ind w:left="-1420" w:right="10278" w:firstLine="0"/>
      <w:jc w:val="left"/>
    </w:pPr>
  </w:p>
  <w:p w:rsidR="003B2236" w:rsidRDefault="00EE1174">
    <w:pPr>
      <w:spacing w:after="0" w:line="251" w:lineRule="auto"/>
      <w:ind w:left="-1420" w:right="10278" w:firstLine="0"/>
      <w:jc w:val="left"/>
    </w:pPr>
  </w:p>
  <w:p w:rsidR="003B2236" w:rsidRDefault="00EE1174">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76" w:rsidRDefault="003B09E5">
      <w:pPr>
        <w:spacing w:after="0" w:line="240" w:lineRule="auto"/>
      </w:pPr>
      <w:r>
        <w:separator/>
      </w:r>
    </w:p>
  </w:footnote>
  <w:footnote w:type="continuationSeparator" w:id="0">
    <w:p w:rsidR="00433976" w:rsidRDefault="003B0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36" w:rsidRDefault="003B09E5">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3B2236" w:rsidRDefault="003B09E5">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36" w:rsidRDefault="003B09E5">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1595B"/>
    <w:multiLevelType w:val="multilevel"/>
    <w:tmpl w:val="82FEC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7E"/>
    <w:rsid w:val="00355CD7"/>
    <w:rsid w:val="003B09E5"/>
    <w:rsid w:val="00433976"/>
    <w:rsid w:val="00BA087E"/>
    <w:rsid w:val="00EE1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847AB-1AB4-4D36-9FF5-DBDC1F43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62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2557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2024-01-18T13:16:00Z</dcterms:created>
  <dcterms:modified xsi:type="dcterms:W3CDTF">2024-01-23T08:34:00Z</dcterms:modified>
</cp:coreProperties>
</file>