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97" w:rsidRDefault="00AA0874">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9D1397" w:rsidRDefault="009D139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9D139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9D139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Pr="00AA0874" w:rsidRDefault="00213FE0">
            <w:pPr>
              <w:spacing w:after="84" w:line="251" w:lineRule="auto"/>
              <w:ind w:left="0" w:right="0" w:firstLine="0"/>
              <w:jc w:val="left"/>
              <w:rPr>
                <w:rFonts w:ascii="Arial" w:hAnsi="Arial" w:cs="Arial"/>
                <w:sz w:val="20"/>
                <w:szCs w:val="20"/>
              </w:rPr>
            </w:pPr>
            <w:r>
              <w:rPr>
                <w:rFonts w:ascii="Arial" w:hAnsi="Arial" w:cs="Arial"/>
                <w:sz w:val="20"/>
                <w:szCs w:val="20"/>
              </w:rPr>
              <w:t>PLN</w:t>
            </w:r>
            <w:r w:rsidR="00AA0874">
              <w:rPr>
                <w:rFonts w:ascii="Arial" w:hAnsi="Arial" w:cs="Arial"/>
                <w:sz w:val="20"/>
                <w:szCs w:val="20"/>
              </w:rPr>
              <w:t>/2021/7</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Pr="00AA0874" w:rsidRDefault="00AA0874">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9D1397" w:rsidRDefault="00AA0874">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9D1397" w:rsidRDefault="00AA0874">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9D139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rsidP="00AA0874">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9D139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rsidP="00AA0874">
            <w:pPr>
              <w:spacing w:after="84" w:line="251" w:lineRule="auto"/>
              <w:ind w:left="0" w:right="0" w:firstLine="0"/>
              <w:jc w:val="left"/>
              <w:rPr>
                <w:rFonts w:ascii="Arial" w:hAnsi="Arial" w:cs="Arial"/>
                <w:sz w:val="20"/>
                <w:szCs w:val="20"/>
              </w:rPr>
            </w:pPr>
            <w:r>
              <w:rPr>
                <w:rFonts w:ascii="Arial" w:hAnsi="Arial" w:cs="Arial"/>
                <w:sz w:val="20"/>
                <w:szCs w:val="20"/>
              </w:rPr>
              <w:t>1ª convocatoria: 24 de junio de 2021 a las 9:00</w:t>
            </w:r>
          </w:p>
          <w:p w:rsidR="00AA0874" w:rsidRDefault="00AA0874" w:rsidP="00AA0874">
            <w:pPr>
              <w:spacing w:after="84" w:line="251" w:lineRule="auto"/>
              <w:ind w:left="0" w:right="0" w:firstLine="0"/>
              <w:jc w:val="left"/>
              <w:rPr>
                <w:rFonts w:ascii="Arial" w:hAnsi="Arial" w:cs="Arial"/>
                <w:sz w:val="20"/>
                <w:szCs w:val="20"/>
              </w:rPr>
            </w:pPr>
            <w:r>
              <w:rPr>
                <w:rFonts w:ascii="Arial" w:hAnsi="Arial" w:cs="Arial"/>
                <w:sz w:val="20"/>
                <w:szCs w:val="20"/>
              </w:rPr>
              <w:t>2ª convocatoria: 28 de junio de 2021 a las 9:00</w:t>
            </w:r>
          </w:p>
        </w:tc>
      </w:tr>
      <w:tr w:rsidR="009D139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9D1397" w:rsidRDefault="009D1397">
            <w:pPr>
              <w:spacing w:after="84" w:line="251" w:lineRule="auto"/>
              <w:ind w:left="0" w:right="0" w:firstLine="0"/>
              <w:jc w:val="left"/>
              <w:rPr>
                <w:rFonts w:ascii="Arial" w:hAnsi="Arial" w:cs="Arial"/>
                <w:b/>
                <w:sz w:val="20"/>
                <w:szCs w:val="20"/>
              </w:rPr>
            </w:pPr>
          </w:p>
          <w:p w:rsidR="009D1397" w:rsidRDefault="009D139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D1397" w:rsidRDefault="00AA0874" w:rsidP="00AA0874">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AA0874" w:rsidRDefault="00AA0874" w:rsidP="00AA0874">
            <w:pPr>
              <w:spacing w:after="84" w:line="251" w:lineRule="auto"/>
              <w:ind w:left="0" w:right="0" w:firstLine="0"/>
              <w:jc w:val="left"/>
              <w:rPr>
                <w:rFonts w:ascii="Arial" w:hAnsi="Arial" w:cs="Arial"/>
                <w:sz w:val="20"/>
                <w:szCs w:val="20"/>
              </w:rPr>
            </w:pPr>
            <w:r>
              <w:rPr>
                <w:rFonts w:ascii="Arial" w:hAnsi="Arial" w:cs="Arial"/>
                <w:sz w:val="20"/>
                <w:szCs w:val="20"/>
              </w:rPr>
              <w:t>No admite participación a distancia</w:t>
            </w:r>
          </w:p>
        </w:tc>
      </w:tr>
    </w:tbl>
    <w:p w:rsidR="009D1397" w:rsidRDefault="009D1397">
      <w:pPr>
        <w:spacing w:after="84" w:line="251" w:lineRule="auto"/>
        <w:ind w:left="215" w:right="0" w:firstLine="0"/>
        <w:jc w:val="center"/>
        <w:rPr>
          <w:rFonts w:ascii="Arial" w:hAnsi="Arial" w:cs="Arial"/>
          <w:b/>
          <w:sz w:val="24"/>
          <w:szCs w:val="24"/>
        </w:rPr>
      </w:pPr>
    </w:p>
    <w:p w:rsidR="009D1397" w:rsidRDefault="00AA0874">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D1561C">
        <w:rPr>
          <w:rFonts w:ascii="Arial" w:eastAsia="Times New Roman" w:hAnsi="Arial" w:cs="Arial"/>
          <w:b/>
          <w:bCs/>
          <w:sz w:val="20"/>
          <w:szCs w:val="20"/>
        </w:rPr>
        <w:t>A) Parte resolutiva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3468/2021. Toma de posesión de Doña Alicia Mercedes Marrero Meneses como Concejala del Ayuntamiento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 xml:space="preserve">Expediente 5851/2021. Propuesta de la Alcaldesa-Presidenta de fecha 15 de junio de 2021 al Pleno sobre aprobación de la obra musical compuesta por D. Agustín Ramos </w:t>
      </w:r>
      <w:proofErr w:type="spellStart"/>
      <w:r w:rsidRPr="00D1561C">
        <w:rPr>
          <w:rFonts w:ascii="Arial" w:eastAsia="Times New Roman" w:hAnsi="Arial" w:cs="Arial"/>
          <w:sz w:val="20"/>
          <w:szCs w:val="20"/>
        </w:rPr>
        <w:t>Ramos</w:t>
      </w:r>
      <w:proofErr w:type="spellEnd"/>
      <w:r w:rsidRPr="00D1561C">
        <w:rPr>
          <w:rFonts w:ascii="Arial" w:eastAsia="Times New Roman" w:hAnsi="Arial" w:cs="Arial"/>
          <w:sz w:val="20"/>
          <w:szCs w:val="20"/>
        </w:rPr>
        <w:t xml:space="preserve"> y D. Eduardo Manuel Ramos </w:t>
      </w:r>
      <w:proofErr w:type="spellStart"/>
      <w:r w:rsidRPr="00D1561C">
        <w:rPr>
          <w:rFonts w:ascii="Arial" w:eastAsia="Times New Roman" w:hAnsi="Arial" w:cs="Arial"/>
          <w:sz w:val="20"/>
          <w:szCs w:val="20"/>
        </w:rPr>
        <w:t>Ramos</w:t>
      </w:r>
      <w:proofErr w:type="spellEnd"/>
      <w:r w:rsidRPr="00D1561C">
        <w:rPr>
          <w:rFonts w:ascii="Arial" w:eastAsia="Times New Roman" w:hAnsi="Arial" w:cs="Arial"/>
          <w:sz w:val="20"/>
          <w:szCs w:val="20"/>
        </w:rPr>
        <w:t xml:space="preserve"> con el apoyo del Dr. D. Octavio Rodríguez Delgado, como himno oficial del municipio de la Villa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5897/2021. Propuesta del Concejal delegado de Hacienda de 16 de junio de 2021 al Pleno de aprobación inicial del expediente de modificación presupuestaria nº 5897/2021, por créditos extraordinarios financiado con remanente de tesorería para gastos generales por importe de 496.821,47 euros.</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2252/2020. Toma de conocimiento de la Sentencia del Tribunal Superior de Justicia de Canarias de fecha 30 de septiembre de 2008 por la que se desestima el recurso interpuesto por Simón Rueda Inmobiliaria S.L.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2257/2020.Toma de conocimiento de la sentencia del Tribunal Superior de Justicia de Canarias de 6 de marzo de 2009 por la que se desestima el recurso interpuesto por Don José Higuera Leal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 xml:space="preserve">Expediente 2280/2020. Toma de conocimiento de la sentencia del Tribunal Superior de Justicia de Canarias de fecha 22 de junio de 2009 por la que se desestima el recurso interpuesto por </w:t>
      </w:r>
      <w:proofErr w:type="spellStart"/>
      <w:r w:rsidRPr="00D1561C">
        <w:rPr>
          <w:rFonts w:ascii="Arial" w:eastAsia="Times New Roman" w:hAnsi="Arial" w:cs="Arial"/>
          <w:sz w:val="20"/>
          <w:szCs w:val="20"/>
        </w:rPr>
        <w:t>Quintans</w:t>
      </w:r>
      <w:proofErr w:type="spellEnd"/>
      <w:r w:rsidRPr="00D1561C">
        <w:rPr>
          <w:rFonts w:ascii="Arial" w:eastAsia="Times New Roman" w:hAnsi="Arial" w:cs="Arial"/>
          <w:sz w:val="20"/>
          <w:szCs w:val="20"/>
        </w:rPr>
        <w:t xml:space="preserve"> y Hernández S.L.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2254/2020. Toma de conocimiento de la sentencia del Tribunal Superior de Justicia de Canarias de 28 de enero de 2010 por la que se desestima el recurso interpuesto por Don José Manuel Hernández Herrera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 xml:space="preserve">Expediente 2284/2020. Toma de conocimiento de la sentencia del Tribunal Superior de Justicia de Canarias de 2 de marzo de 2010 por la que se desestima el recurso interpuesto por Don Luis Javier </w:t>
      </w:r>
      <w:proofErr w:type="spellStart"/>
      <w:r w:rsidRPr="00D1561C">
        <w:rPr>
          <w:rFonts w:ascii="Arial" w:eastAsia="Times New Roman" w:hAnsi="Arial" w:cs="Arial"/>
          <w:sz w:val="20"/>
          <w:szCs w:val="20"/>
        </w:rPr>
        <w:t>Senante</w:t>
      </w:r>
      <w:proofErr w:type="spellEnd"/>
      <w:r w:rsidRPr="00D1561C">
        <w:rPr>
          <w:rFonts w:ascii="Arial" w:eastAsia="Times New Roman" w:hAnsi="Arial" w:cs="Arial"/>
          <w:sz w:val="20"/>
          <w:szCs w:val="20"/>
        </w:rPr>
        <w:t xml:space="preserve"> </w:t>
      </w:r>
      <w:proofErr w:type="spellStart"/>
      <w:r w:rsidRPr="00D1561C">
        <w:rPr>
          <w:rFonts w:ascii="Arial" w:eastAsia="Times New Roman" w:hAnsi="Arial" w:cs="Arial"/>
          <w:sz w:val="20"/>
          <w:szCs w:val="20"/>
        </w:rPr>
        <w:t>Mascareño</w:t>
      </w:r>
      <w:proofErr w:type="spellEnd"/>
      <w:r w:rsidRPr="00D1561C">
        <w:rPr>
          <w:rFonts w:ascii="Arial" w:eastAsia="Times New Roman" w:hAnsi="Arial" w:cs="Arial"/>
          <w:sz w:val="20"/>
          <w:szCs w:val="20"/>
        </w:rPr>
        <w:t xml:space="preserve">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2282/2020. Toma de conocimiento de la sentencia del Tribunal Superior de Justicia de Canarias de fecha 15 de marzo de 2010 por la que se desestima el recurso interpuesto por Don Francisco Ramón García Díaz, Doña Guadalupe García Miguel y Don José Amaranto Caballero Mesa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2329/2020.Toma de conocimiento y ejecución de la sentencia del Tribunal Superior de Justicia de Canarias de fecha 14 de marzo de 2011 por la que se estima el recurso interpuesto por Doña Natividad Martín Pérez y Doña Asunción Martín Pérez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lastRenderedPageBreak/>
        <w:t>Expediente 2328/2020. Toma de conocimiento y ejecución de la sentencia del Tribunal Superior de Justicia de Canarias de fecha 8 de julio de 2011 por la que se estima el recurso interpuesto por Don Felipe González Santos contra el PGO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4394/2021. Propuesta de la Alcaldesa-Presidenta de fecha 14 de junio de 2021 al Pleno de encomienda de gestión a la entidad mercantil del Gobierno de Canarias, “Gestión y Planeamiento Territorial y Medioambiental, S.A.” (GESPLAN, S.A.) a los efectos de su consideración como medio propio personificado y destinataria de encargos y encomiendas que le realice el Ayuntamiento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 xml:space="preserve">Expediente 4395/2021. Propuesta de la Alcaldesa-Presidenta de fecha 14 de junio de 2021 al Pleno de encomienda de gestión a la entidad mercantil del Gobierno de Canarias GESTUR CANARIAS </w:t>
      </w:r>
      <w:proofErr w:type="spellStart"/>
      <w:r w:rsidRPr="00D1561C">
        <w:rPr>
          <w:rFonts w:ascii="Arial" w:eastAsia="Times New Roman" w:hAnsi="Arial" w:cs="Arial"/>
          <w:sz w:val="20"/>
          <w:szCs w:val="20"/>
        </w:rPr>
        <w:t>S.A.a</w:t>
      </w:r>
      <w:proofErr w:type="spellEnd"/>
      <w:r w:rsidRPr="00D1561C">
        <w:rPr>
          <w:rFonts w:ascii="Arial" w:eastAsia="Times New Roman" w:hAnsi="Arial" w:cs="Arial"/>
          <w:sz w:val="20"/>
          <w:szCs w:val="20"/>
        </w:rPr>
        <w:t xml:space="preserve"> los efectos de su consideración como medio propio personificado y destinataria de encargos y encomiendas que le realice el Ayuntamiento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5875/2021</w:t>
      </w:r>
      <w:proofErr w:type="gramStart"/>
      <w:r w:rsidRPr="00D1561C">
        <w:rPr>
          <w:rFonts w:ascii="Arial" w:eastAsia="Times New Roman" w:hAnsi="Arial" w:cs="Arial"/>
          <w:sz w:val="20"/>
          <w:szCs w:val="20"/>
        </w:rPr>
        <w:t>. .</w:t>
      </w:r>
      <w:proofErr w:type="gramEnd"/>
      <w:r w:rsidRPr="00D1561C">
        <w:rPr>
          <w:rFonts w:ascii="Arial" w:eastAsia="Times New Roman" w:hAnsi="Arial" w:cs="Arial"/>
          <w:sz w:val="20"/>
          <w:szCs w:val="20"/>
        </w:rPr>
        <w:t xml:space="preserve"> Moción del Grupo Mixto con registro de entrada de fecha 15 de junio de 2021 para el </w:t>
      </w:r>
      <w:proofErr w:type="spellStart"/>
      <w:r w:rsidRPr="00D1561C">
        <w:rPr>
          <w:rFonts w:ascii="Arial" w:eastAsia="Times New Roman" w:hAnsi="Arial" w:cs="Arial"/>
          <w:sz w:val="20"/>
          <w:szCs w:val="20"/>
        </w:rPr>
        <w:t>desamiantado</w:t>
      </w:r>
      <w:proofErr w:type="spellEnd"/>
      <w:r w:rsidRPr="00D1561C">
        <w:rPr>
          <w:rFonts w:ascii="Arial" w:eastAsia="Times New Roman" w:hAnsi="Arial" w:cs="Arial"/>
          <w:sz w:val="20"/>
          <w:szCs w:val="20"/>
        </w:rPr>
        <w:t xml:space="preserve"> del municipio de Candelaria</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5877/2021. Moción del Grupo Mixto por registro de entrada de 15 de junio de 2021 para impulsar el Fondo de Reconstrucción Municipal para paliar los efectos generados por la crisis económica y la caída de ingresos.</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Urgencias.</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7048/2019. Dación de cuenta del Decreto 1544/2021, de fecha 2 de junio de 2021 por el que se da cumplimiento al abono de las cantidades debidas a una trabajadora en sentencia firme de 17 de diciembre de 2019 y se cumple con el auto de 25 de mayo de 2021 del Juzgado de lo Social nº 6 (PO 87/2019).</w:t>
      </w:r>
    </w:p>
    <w:p w:rsidR="00AA0874" w:rsidRPr="00D1561C" w:rsidRDefault="00AA0874" w:rsidP="00AA0874">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D1561C">
        <w:rPr>
          <w:rFonts w:ascii="Arial" w:eastAsia="Times New Roman" w:hAnsi="Arial" w:cs="Arial"/>
          <w:sz w:val="20"/>
          <w:szCs w:val="20"/>
        </w:rPr>
        <w:t>Expediente 1341/2019. Dación de cuenta del Decreto 1510/2021, de fecha 31 de mayo de 2021 por el que se da cumplimiento al abono de las cantidades debidas a un trabajador en sentencia firme de 24 de julio de 2020 y se cumple con el auto de 25 de mayo de 2021 del Juzgado de lo Social nº 6 (PO 625/2018).</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D1561C">
        <w:rPr>
          <w:rFonts w:ascii="Arial" w:eastAsia="Times New Roman" w:hAnsi="Arial" w:cs="Arial"/>
          <w:b/>
          <w:bCs/>
          <w:sz w:val="20"/>
          <w:szCs w:val="20"/>
        </w:rPr>
        <w:t>B) Actividad de control</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D1561C">
        <w:rPr>
          <w:rFonts w:ascii="Arial" w:eastAsia="Times New Roman" w:hAnsi="Arial" w:cs="Arial"/>
          <w:sz w:val="20"/>
          <w:szCs w:val="20"/>
        </w:rPr>
        <w:t>19. </w:t>
      </w:r>
      <w:proofErr w:type="spellStart"/>
      <w:r w:rsidRPr="00D1561C">
        <w:rPr>
          <w:rFonts w:ascii="Arial" w:eastAsia="Times New Roman" w:hAnsi="Arial" w:cs="Arial"/>
          <w:sz w:val="20"/>
          <w:szCs w:val="20"/>
        </w:rPr>
        <w:t>Dacion</w:t>
      </w:r>
      <w:proofErr w:type="spellEnd"/>
      <w:r w:rsidRPr="00D1561C">
        <w:rPr>
          <w:rFonts w:ascii="Arial" w:eastAsia="Times New Roman" w:hAnsi="Arial" w:cs="Arial"/>
          <w:sz w:val="20"/>
          <w:szCs w:val="20"/>
        </w:rPr>
        <w:t xml:space="preserve"> de cuenta de los Decretos de la Alcaldía-Presidencia y de los Concejales delegados</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D1561C">
        <w:rPr>
          <w:rFonts w:ascii="Arial" w:eastAsia="Times New Roman" w:hAnsi="Arial" w:cs="Arial"/>
          <w:sz w:val="20"/>
          <w:szCs w:val="20"/>
        </w:rPr>
        <w:t xml:space="preserve">20.Informe de la Intervención sobre las resoluciones adoptadas contrarios a los reparos efectuados conforme la ley 27/2013, de 27 de diciembre, de racionalización y </w:t>
      </w:r>
      <w:proofErr w:type="spellStart"/>
      <w:r w:rsidRPr="00D1561C">
        <w:rPr>
          <w:rFonts w:ascii="Arial" w:eastAsia="Times New Roman" w:hAnsi="Arial" w:cs="Arial"/>
          <w:sz w:val="20"/>
          <w:szCs w:val="20"/>
        </w:rPr>
        <w:t>sostenbilidad</w:t>
      </w:r>
      <w:proofErr w:type="spellEnd"/>
      <w:r w:rsidRPr="00D1561C">
        <w:rPr>
          <w:rFonts w:ascii="Arial" w:eastAsia="Times New Roman" w:hAnsi="Arial" w:cs="Arial"/>
          <w:sz w:val="20"/>
          <w:szCs w:val="20"/>
        </w:rPr>
        <w:t xml:space="preserve"> de la Administración local</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D1561C">
        <w:rPr>
          <w:rFonts w:ascii="Arial" w:eastAsia="Times New Roman" w:hAnsi="Arial" w:cs="Arial"/>
          <w:b/>
          <w:bCs/>
          <w:sz w:val="20"/>
          <w:szCs w:val="20"/>
        </w:rPr>
        <w:t>C) Ruegos y preguntas</w:t>
      </w:r>
    </w:p>
    <w:p w:rsidR="00AA0874" w:rsidRPr="00D1561C" w:rsidRDefault="00AA0874" w:rsidP="00AA0874">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D1561C">
        <w:rPr>
          <w:rFonts w:ascii="Arial" w:eastAsia="Times New Roman" w:hAnsi="Arial" w:cs="Arial"/>
          <w:sz w:val="20"/>
          <w:szCs w:val="20"/>
        </w:rPr>
        <w:t>21.Ruegos y preguntas.</w:t>
      </w:r>
    </w:p>
    <w:bookmarkEnd w:id="0"/>
    <w:p w:rsidR="00AA0874" w:rsidRDefault="00AA0874">
      <w:pPr>
        <w:spacing w:after="84" w:line="251" w:lineRule="auto"/>
        <w:ind w:left="215" w:right="0" w:firstLine="0"/>
        <w:jc w:val="center"/>
      </w:pPr>
    </w:p>
    <w:sectPr w:rsidR="00AA0874">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F82" w:rsidRDefault="00AA0874">
      <w:pPr>
        <w:spacing w:after="0" w:line="240" w:lineRule="auto"/>
      </w:pPr>
      <w:r>
        <w:separator/>
      </w:r>
    </w:p>
  </w:endnote>
  <w:endnote w:type="continuationSeparator" w:id="0">
    <w:p w:rsidR="000E2F82" w:rsidRDefault="00AA0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32" w:rsidRDefault="00AA0874">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286C32" w:rsidRDefault="00AA0874">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286C32" w:rsidRDefault="00AA0874">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32" w:rsidRDefault="00D1561C">
    <w:pPr>
      <w:spacing w:after="0" w:line="251" w:lineRule="auto"/>
      <w:ind w:left="-1420" w:right="10278" w:firstLine="0"/>
      <w:jc w:val="left"/>
    </w:pPr>
  </w:p>
  <w:p w:rsidR="00286C32" w:rsidRDefault="00D1561C">
    <w:pPr>
      <w:spacing w:after="0" w:line="251" w:lineRule="auto"/>
      <w:ind w:left="-1420" w:right="10278" w:firstLine="0"/>
      <w:jc w:val="left"/>
    </w:pPr>
  </w:p>
  <w:p w:rsidR="00286C32" w:rsidRDefault="00D1561C">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F82" w:rsidRDefault="00AA0874">
      <w:pPr>
        <w:spacing w:after="0" w:line="240" w:lineRule="auto"/>
      </w:pPr>
      <w:r>
        <w:separator/>
      </w:r>
    </w:p>
  </w:footnote>
  <w:footnote w:type="continuationSeparator" w:id="0">
    <w:p w:rsidR="000E2F82" w:rsidRDefault="00AA0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32" w:rsidRDefault="00AA0874">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286C32" w:rsidRDefault="00AA0874">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C32" w:rsidRDefault="00AA0874">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10A10"/>
    <w:multiLevelType w:val="multilevel"/>
    <w:tmpl w:val="8FDE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97"/>
    <w:rsid w:val="000E2F82"/>
    <w:rsid w:val="00213FE0"/>
    <w:rsid w:val="009D1397"/>
    <w:rsid w:val="00AA0874"/>
    <w:rsid w:val="00D156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E9B23-4549-4C08-87FD-F2746C49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2024-01-18T13:01:00Z</dcterms:created>
  <dcterms:modified xsi:type="dcterms:W3CDTF">2024-01-23T08:31:00Z</dcterms:modified>
</cp:coreProperties>
</file>