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7CE" w:rsidRDefault="0041653A">
      <w:pPr>
        <w:spacing w:after="243" w:line="256" w:lineRule="auto"/>
        <w:ind w:left="22" w:right="0" w:hanging="10"/>
        <w:jc w:val="center"/>
      </w:pPr>
      <w:bookmarkStart w:id="0" w:name="_GoBack"/>
      <w:bookmarkEnd w:id="0"/>
      <w:r>
        <w:rPr>
          <w:rFonts w:ascii="Times New Roman" w:eastAsia="Times New Roman" w:hAnsi="Times New Roman" w:cs="Times New Roman"/>
          <w:b/>
          <w:color w:val="181717"/>
          <w:sz w:val="24"/>
        </w:rPr>
        <w:t>VILLA DE CANDELARIA</w:t>
      </w:r>
    </w:p>
    <w:p w:rsidR="00A257CE" w:rsidRDefault="0041653A">
      <w:pPr>
        <w:spacing w:after="39" w:line="256" w:lineRule="auto"/>
        <w:ind w:left="22" w:right="0" w:hanging="10"/>
        <w:jc w:val="center"/>
      </w:pPr>
      <w:r>
        <w:rPr>
          <w:rFonts w:ascii="Times New Roman" w:eastAsia="Times New Roman" w:hAnsi="Times New Roman" w:cs="Times New Roman"/>
          <w:b/>
          <w:color w:val="181717"/>
          <w:sz w:val="24"/>
        </w:rPr>
        <w:t>ANUNCIO DE APROBACIÓN DEFINITIVA</w:t>
      </w:r>
    </w:p>
    <w:p w:rsidR="00A257CE" w:rsidRDefault="0041653A">
      <w:pPr>
        <w:tabs>
          <w:tab w:val="right" w:pos="9638"/>
        </w:tabs>
        <w:spacing w:after="51" w:line="256" w:lineRule="auto"/>
        <w:ind w:left="0" w:right="0" w:firstLine="0"/>
        <w:jc w:val="left"/>
      </w:pPr>
      <w:r>
        <w:rPr>
          <w:rFonts w:ascii="Times New Roman" w:eastAsia="Times New Roman" w:hAnsi="Times New Roman" w:cs="Times New Roman"/>
          <w:b/>
          <w:color w:val="181717"/>
        </w:rPr>
        <w:t>216</w:t>
      </w:r>
      <w:r>
        <w:rPr>
          <w:b/>
          <w:sz w:val="21"/>
        </w:rPr>
        <w:t xml:space="preserve"> </w:t>
      </w:r>
      <w:r>
        <w:rPr>
          <w:rFonts w:ascii="Times New Roman" w:eastAsia="Times New Roman" w:hAnsi="Times New Roman" w:cs="Times New Roman"/>
          <w:b/>
          <w:color w:val="181717"/>
        </w:rPr>
        <w:t xml:space="preserve"> </w:t>
      </w:r>
      <w:r>
        <w:rPr>
          <w:rFonts w:ascii="Times New Roman" w:eastAsia="Times New Roman" w:hAnsi="Times New Roman" w:cs="Times New Roman"/>
          <w:b/>
          <w:color w:val="181717"/>
        </w:rPr>
        <w:tab/>
        <w:t>11597</w:t>
      </w:r>
    </w:p>
    <w:p w:rsidR="00A257CE" w:rsidRDefault="0041653A">
      <w:pPr>
        <w:spacing w:after="15" w:line="256" w:lineRule="auto"/>
        <w:ind w:left="279" w:right="0" w:hanging="10"/>
        <w:jc w:val="left"/>
      </w:pPr>
      <w:r>
        <w:rPr>
          <w:b/>
          <w:sz w:val="21"/>
        </w:rPr>
        <w:t>Expediente nº:</w:t>
      </w:r>
      <w:r>
        <w:rPr>
          <w:sz w:val="21"/>
        </w:rPr>
        <w:t xml:space="preserve"> 2761/2024.</w:t>
      </w:r>
      <w:r>
        <w:rPr>
          <w:b/>
          <w:sz w:val="21"/>
        </w:rPr>
        <w:t xml:space="preserve"> </w:t>
      </w:r>
    </w:p>
    <w:p w:rsidR="00A257CE" w:rsidRDefault="0041653A">
      <w:pPr>
        <w:spacing w:after="0" w:line="256" w:lineRule="auto"/>
        <w:ind w:left="284" w:right="0" w:firstLine="0"/>
        <w:jc w:val="left"/>
      </w:pPr>
      <w:r>
        <w:rPr>
          <w:b/>
          <w:sz w:val="21"/>
        </w:rPr>
        <w:t xml:space="preserve"> </w:t>
      </w:r>
    </w:p>
    <w:p w:rsidR="00A257CE" w:rsidRDefault="0041653A">
      <w:pPr>
        <w:spacing w:after="102" w:line="273" w:lineRule="auto"/>
        <w:ind w:left="284" w:right="836" w:firstLine="600"/>
      </w:pPr>
      <w:r>
        <w:rPr>
          <w:sz w:val="21"/>
        </w:rPr>
        <w:t xml:space="preserve">Por el presente se publica que el Ayuntamiento Pleno, en sesión ordinaria de fecha 28 de </w:t>
      </w:r>
      <w:r>
        <w:rPr>
          <w:sz w:val="21"/>
        </w:rPr>
        <w:t xml:space="preserve">noviembre de 2024, adoptó el siguiente acuerdo cuyo contenido literal en su parte dispositiva es: </w:t>
      </w:r>
    </w:p>
    <w:p w:rsidR="00A257CE" w:rsidRDefault="0041653A">
      <w:pPr>
        <w:spacing w:after="0" w:line="240" w:lineRule="auto"/>
        <w:ind w:left="279" w:right="835" w:hanging="10"/>
      </w:pPr>
      <w:r>
        <w:rPr>
          <w:sz w:val="21"/>
        </w:rPr>
        <w:t>“</w:t>
      </w:r>
      <w:r>
        <w:rPr>
          <w:b/>
          <w:sz w:val="23"/>
        </w:rPr>
        <w:t>Primero:</w:t>
      </w:r>
      <w:r>
        <w:rPr>
          <w:sz w:val="23"/>
        </w:rPr>
        <w:t xml:space="preserve"> Desestimar las alegaciones presentadas, con fecha 4 de noviembre de 2024, contra el acuerdo de aprobación inicial de la Ordenanza, durante el perio</w:t>
      </w:r>
      <w:r>
        <w:rPr>
          <w:sz w:val="23"/>
        </w:rPr>
        <w:t xml:space="preserve">do de exposición al público, por el partido Unidas Sí Podemos, integrado en el Grupo Mixto </w:t>
      </w:r>
    </w:p>
    <w:p w:rsidR="00A257CE" w:rsidRDefault="0041653A">
      <w:pPr>
        <w:spacing w:after="0" w:line="256" w:lineRule="auto"/>
        <w:ind w:left="284" w:right="0" w:firstLine="0"/>
        <w:jc w:val="left"/>
      </w:pPr>
      <w:r>
        <w:rPr>
          <w:sz w:val="23"/>
        </w:rPr>
        <w:t xml:space="preserve"> </w:t>
      </w:r>
    </w:p>
    <w:p w:rsidR="00A257CE" w:rsidRDefault="0041653A">
      <w:pPr>
        <w:spacing w:after="134" w:line="240" w:lineRule="auto"/>
        <w:ind w:left="279" w:right="835" w:hanging="10"/>
      </w:pPr>
      <w:r>
        <w:rPr>
          <w:b/>
          <w:sz w:val="23"/>
        </w:rPr>
        <w:t>Segundo:</w:t>
      </w:r>
      <w:r>
        <w:rPr>
          <w:sz w:val="23"/>
        </w:rPr>
        <w:t xml:space="preserve"> Aprobar definitivamente la ORDENANZA REGULADORA DE LA PRESTACIÓN PATRIMONIAL DE CARÁCTER PÚBLICO NO TRIBUTARIO DE LOS SERVICIOS MUNICIPALES DE GESTIÓN DE</w:t>
      </w:r>
      <w:r>
        <w:rPr>
          <w:sz w:val="23"/>
        </w:rPr>
        <w:t xml:space="preserve">L CICLO INTEGRAL DEL AGUA DEL AYUNTAMIENTO DE LA VILLA DE CANDELARIA, cuyo tenor literal se inserta a continuación: </w:t>
      </w:r>
    </w:p>
    <w:p w:rsidR="00A257CE" w:rsidRDefault="0041653A">
      <w:pPr>
        <w:numPr>
          <w:ilvl w:val="0"/>
          <w:numId w:val="1"/>
        </w:numPr>
        <w:spacing w:after="15" w:line="256" w:lineRule="auto"/>
        <w:ind w:right="0" w:hanging="348"/>
        <w:jc w:val="left"/>
      </w:pPr>
      <w:r>
        <w:rPr>
          <w:rFonts w:ascii="Calibri" w:eastAsia="Calibri" w:hAnsi="Calibri" w:cs="Calibri"/>
          <w:sz w:val="23"/>
        </w:rPr>
        <w:t>“</w:t>
      </w:r>
      <w:r>
        <w:rPr>
          <w:b/>
          <w:sz w:val="21"/>
        </w:rPr>
        <w:t xml:space="preserve">Naturaleza, Objeto y Fundamento. </w:t>
      </w:r>
    </w:p>
    <w:p w:rsidR="00A257CE" w:rsidRDefault="0041653A">
      <w:pPr>
        <w:spacing w:after="3" w:line="273" w:lineRule="auto"/>
        <w:ind w:left="1004" w:right="836" w:hanging="360"/>
      </w:pPr>
      <w:r>
        <w:rPr>
          <w:sz w:val="21"/>
        </w:rPr>
        <w:t>1. En uso de las facultades concedidas por los artículos 133.2 y 142 de la Constitución y por el artícul</w:t>
      </w:r>
      <w:r>
        <w:rPr>
          <w:sz w:val="21"/>
        </w:rPr>
        <w:t>o 106 de la Ley 7/1985, de 2 de abril, Reguladora de las Bases de Régimen Local, y de conformidad con lo dispuesto en los artículos 15 a 27 del Real Decreto Legislativo 2/2004, de 5 de marzo, por el que aprueba el Texto Refundido de la Ley Reguladora de la</w:t>
      </w:r>
      <w:r>
        <w:rPr>
          <w:sz w:val="21"/>
        </w:rPr>
        <w:t>s Haciendas Locales, este Ayuntamiento establece la prestación patrimonial de carácter no tributario de los servicios municipales de gestión del ciclo integral del agua y las actividades conexas a los mismos el término municipal de Candelaria, que se regul</w:t>
      </w:r>
      <w:r>
        <w:rPr>
          <w:sz w:val="21"/>
        </w:rPr>
        <w:t xml:space="preserve">ará por la presente Ordenanza, redactada conforme a lo dispuesto en el artículo 57 del Real Decreto Legislativo 2/2004, de 5 de marzo que aprueba el Texto Refundido de la Ley Reguladora de las Haciendas Locales. </w:t>
      </w:r>
    </w:p>
    <w:p w:rsidR="00A257CE" w:rsidRDefault="0041653A">
      <w:pPr>
        <w:spacing w:after="18" w:line="256" w:lineRule="auto"/>
        <w:ind w:left="284" w:right="0" w:firstLine="0"/>
        <w:jc w:val="left"/>
      </w:pPr>
      <w:r>
        <w:rPr>
          <w:sz w:val="21"/>
        </w:rPr>
        <w:t xml:space="preserve"> </w:t>
      </w:r>
    </w:p>
    <w:p w:rsidR="00A257CE" w:rsidRDefault="0041653A">
      <w:pPr>
        <w:numPr>
          <w:ilvl w:val="0"/>
          <w:numId w:val="1"/>
        </w:numPr>
        <w:spacing w:after="15" w:line="256" w:lineRule="auto"/>
        <w:ind w:right="0" w:hanging="348"/>
        <w:jc w:val="left"/>
      </w:pPr>
      <w:r>
        <w:rPr>
          <w:b/>
          <w:sz w:val="21"/>
        </w:rPr>
        <w:t xml:space="preserve">Obligación de contribuir.  </w:t>
      </w:r>
    </w:p>
    <w:p w:rsidR="00A257CE" w:rsidRDefault="0041653A">
      <w:pPr>
        <w:spacing w:after="3" w:line="273" w:lineRule="auto"/>
        <w:ind w:left="1136" w:right="836" w:hanging="360"/>
      </w:pPr>
      <w:r>
        <w:rPr>
          <w:sz w:val="21"/>
        </w:rPr>
        <w:t>1. Constituye</w:t>
      </w:r>
      <w:r>
        <w:rPr>
          <w:sz w:val="21"/>
        </w:rPr>
        <w:t xml:space="preserve"> el presupuesto de hecho de la prestación patrimonial de carácter no tributario de los servicios municipales de gestión del ciclo integral del agua y las actividades conexas a los mismos el término municipal de Candelaria, ya sea manera directa por el Ayun</w:t>
      </w:r>
      <w:r>
        <w:rPr>
          <w:sz w:val="21"/>
        </w:rPr>
        <w:t xml:space="preserve">tamiento o de forma indirecta por una empresa concesionaria del servicio: </w:t>
      </w:r>
    </w:p>
    <w:p w:rsidR="00A257CE" w:rsidRDefault="0041653A">
      <w:pPr>
        <w:numPr>
          <w:ilvl w:val="1"/>
          <w:numId w:val="2"/>
        </w:numPr>
        <w:spacing w:after="3" w:line="273" w:lineRule="auto"/>
        <w:ind w:right="836" w:hanging="432"/>
      </w:pPr>
      <w:r>
        <w:rPr>
          <w:sz w:val="21"/>
        </w:rPr>
        <w:t xml:space="preserve">La actividad municipal, técnica y administrativa, tendente a verificar si se dan las condiciones necesarias para autorizar la acometida a las redes municipales de abastecimiento de </w:t>
      </w:r>
      <w:r>
        <w:rPr>
          <w:sz w:val="21"/>
        </w:rPr>
        <w:t xml:space="preserve">agua potable y de alcantarillado. </w:t>
      </w:r>
    </w:p>
    <w:p w:rsidR="00A257CE" w:rsidRDefault="0041653A">
      <w:pPr>
        <w:numPr>
          <w:ilvl w:val="1"/>
          <w:numId w:val="2"/>
        </w:numPr>
        <w:spacing w:after="3" w:line="273" w:lineRule="auto"/>
        <w:ind w:right="836" w:hanging="432"/>
      </w:pPr>
      <w:r>
        <w:rPr>
          <w:sz w:val="21"/>
        </w:rPr>
        <w:t xml:space="preserve">La prestación de los servicios de abastecimiento de agua potable, de evacuación de excretas, aguas pluviales, negras y residuales, a través de la red de alcantarillado municipal, y su tratamiento para depurarlas. </w:t>
      </w:r>
    </w:p>
    <w:p w:rsidR="00A257CE" w:rsidRDefault="0041653A">
      <w:pPr>
        <w:spacing w:after="3" w:line="273" w:lineRule="auto"/>
        <w:ind w:left="2127" w:right="836" w:hanging="566"/>
      </w:pPr>
      <w:r>
        <w:rPr>
          <w:sz w:val="21"/>
        </w:rPr>
        <w:lastRenderedPageBreak/>
        <w:t xml:space="preserve">1.2.1. </w:t>
      </w:r>
      <w:r>
        <w:rPr>
          <w:sz w:val="21"/>
        </w:rPr>
        <w:t xml:space="preserve">En la prestación de los servicios de abastecimiento de agua potable, al tratarse de un servicio de recepción obligatoria, la obligación de satisfacer la prestación patrimonial de carácter no </w:t>
      </w:r>
    </w:p>
    <w:p w:rsidR="00A257CE" w:rsidRDefault="0041653A">
      <w:pPr>
        <w:ind w:left="2411" w:right="555" w:firstLine="0"/>
      </w:pPr>
      <w:r>
        <w:t xml:space="preserve">tributario nace desde el momento en que, a solicitud de parte y </w:t>
      </w:r>
      <w:r>
        <w:t>previo el cumplimiento de los requisitos necesarios para formalizar el contrato de abono al servicio, se ejecute el acople de la instalación del usuario a la red general de suministro de agua. La base de percepción de esta prestación patrimonial de carácte</w:t>
      </w:r>
      <w:r>
        <w:t xml:space="preserve">r no tributario será la cantidad de metros cúbicos de agua suministrada en períodos bimestrales, de acuerdo con la lectura que arroja el contador de medida. </w:t>
      </w:r>
    </w:p>
    <w:p w:rsidR="00A257CE" w:rsidRDefault="0041653A">
      <w:pPr>
        <w:spacing w:after="16" w:line="256" w:lineRule="auto"/>
        <w:ind w:left="568" w:right="0" w:firstLine="0"/>
        <w:jc w:val="left"/>
      </w:pPr>
      <w:r>
        <w:t xml:space="preserve"> </w:t>
      </w:r>
    </w:p>
    <w:p w:rsidR="00A257CE" w:rsidRDefault="0041653A">
      <w:pPr>
        <w:numPr>
          <w:ilvl w:val="0"/>
          <w:numId w:val="1"/>
        </w:numPr>
        <w:spacing w:after="29" w:line="247" w:lineRule="auto"/>
        <w:ind w:right="0" w:hanging="348"/>
        <w:jc w:val="left"/>
      </w:pPr>
      <w:r>
        <w:rPr>
          <w:b/>
        </w:rPr>
        <w:t xml:space="preserve">Obligados al Pago. </w:t>
      </w:r>
    </w:p>
    <w:p w:rsidR="00A257CE" w:rsidRDefault="0041653A">
      <w:pPr>
        <w:numPr>
          <w:ilvl w:val="0"/>
          <w:numId w:val="3"/>
        </w:numPr>
        <w:ind w:right="555" w:hanging="348"/>
      </w:pPr>
      <w:r>
        <w:t>Son obligados al pago las personas físicas y jurídicas y también las herenci</w:t>
      </w:r>
      <w:r>
        <w:t>as yacentes, comunidad de bienes y otras entidades que, sin personalidad jurídica, constituyan una unidad económica separada o patrimonio separado, susceptible de imposición, que ocupen o utilicen las viviendas y locales ubicados en las vías públicas en el</w:t>
      </w:r>
      <w:r>
        <w:t xml:space="preserve"> que se preste el servicio, ya sea a título de propietario, usufructuario o habitacionista, arrendatario o incluso de precario. </w:t>
      </w:r>
    </w:p>
    <w:p w:rsidR="00A257CE" w:rsidRDefault="0041653A">
      <w:pPr>
        <w:numPr>
          <w:ilvl w:val="0"/>
          <w:numId w:val="3"/>
        </w:numPr>
        <w:ind w:right="555" w:hanging="348"/>
      </w:pPr>
      <w:r>
        <w:t>Tendrán la consideración de sustituto del obligado al pago, el propietario de las viviendas o locales, que podrá repercutir, en</w:t>
      </w:r>
      <w:r>
        <w:t xml:space="preserve"> su caso, las cuotas satisfechas sobre los usuarios de aquéllas, beneficiarios del servicio. </w:t>
      </w:r>
    </w:p>
    <w:p w:rsidR="00A257CE" w:rsidRDefault="0041653A">
      <w:pPr>
        <w:numPr>
          <w:ilvl w:val="0"/>
          <w:numId w:val="3"/>
        </w:numPr>
        <w:ind w:right="555" w:hanging="348"/>
      </w:pPr>
      <w:r>
        <w:t>En el supuesto de alquiler, traspaso o cesión gratuita de las viviendas o locales a persona distinta de la que figure como abonado, sin haberse procedido al cambi</w:t>
      </w:r>
      <w:r>
        <w:t xml:space="preserve">o de titularidad en el disfrute del servicio, el obligado al pago será siempre el abonado, sin perjuicio de la facultad de éste de repercutir el pago de la deuda tributaria en quien resulte beneficiario “de hecho” del servicio. </w:t>
      </w:r>
    </w:p>
    <w:p w:rsidR="00A257CE" w:rsidRDefault="0041653A">
      <w:pPr>
        <w:spacing w:after="17" w:line="256" w:lineRule="auto"/>
        <w:ind w:left="1288" w:right="0" w:firstLine="0"/>
        <w:jc w:val="left"/>
      </w:pPr>
      <w:r>
        <w:t xml:space="preserve"> </w:t>
      </w:r>
    </w:p>
    <w:p w:rsidR="00A257CE" w:rsidRDefault="0041653A">
      <w:pPr>
        <w:numPr>
          <w:ilvl w:val="0"/>
          <w:numId w:val="3"/>
        </w:numPr>
        <w:spacing w:after="29" w:line="247" w:lineRule="auto"/>
        <w:ind w:right="555" w:hanging="348"/>
      </w:pPr>
      <w:r>
        <w:rPr>
          <w:b/>
        </w:rPr>
        <w:t xml:space="preserve">Responsables. </w:t>
      </w:r>
    </w:p>
    <w:p w:rsidR="00A257CE" w:rsidRDefault="0041653A">
      <w:pPr>
        <w:numPr>
          <w:ilvl w:val="0"/>
          <w:numId w:val="4"/>
        </w:numPr>
        <w:ind w:right="555" w:hanging="348"/>
      </w:pPr>
      <w:r>
        <w:t xml:space="preserve">Responderán solidariamente de las obligaciones no tributarias del obligado al pago, las personas físicas y jurídicas a que se refieren los artículos 41 y 42 de la Ley General Tributaria. </w:t>
      </w:r>
    </w:p>
    <w:p w:rsidR="00A257CE" w:rsidRDefault="0041653A">
      <w:pPr>
        <w:numPr>
          <w:ilvl w:val="0"/>
          <w:numId w:val="4"/>
        </w:numPr>
        <w:ind w:right="555" w:hanging="348"/>
      </w:pPr>
      <w:r>
        <w:t>Serán responsables subsidiarios los administradores de las sociedade</w:t>
      </w:r>
      <w:r>
        <w:t xml:space="preserve">s y los síndicos, interventores o liquidadores de quiebras, concursos, sociedades y entidades en general, en los supuestos y con el alcance que se señala en el artículo 43 de la Ley General Tributaria. </w:t>
      </w:r>
    </w:p>
    <w:p w:rsidR="00A257CE" w:rsidRDefault="0041653A">
      <w:pPr>
        <w:numPr>
          <w:ilvl w:val="0"/>
          <w:numId w:val="4"/>
        </w:numPr>
        <w:ind w:right="555" w:hanging="348"/>
      </w:pPr>
      <w:r>
        <w:t>En lo no previsto en este artículo relativo a la resp</w:t>
      </w:r>
      <w:r>
        <w:t xml:space="preserve">onsabilidad y responsables solidarios y subsidiarios se estará a lo establecido en los artículos 41 a 43 de la Ley 58/2003, de 17 de diciembre, General Tributaria. </w:t>
      </w:r>
    </w:p>
    <w:p w:rsidR="00A257CE" w:rsidRDefault="0041653A">
      <w:pPr>
        <w:spacing w:after="19" w:line="256" w:lineRule="auto"/>
        <w:ind w:left="1288" w:right="0" w:firstLine="0"/>
        <w:jc w:val="left"/>
      </w:pPr>
      <w:r>
        <w:t xml:space="preserve"> </w:t>
      </w:r>
    </w:p>
    <w:p w:rsidR="00A257CE" w:rsidRDefault="0041653A">
      <w:pPr>
        <w:numPr>
          <w:ilvl w:val="0"/>
          <w:numId w:val="5"/>
        </w:numPr>
        <w:spacing w:after="29" w:line="247" w:lineRule="auto"/>
        <w:ind w:left="1323" w:right="554" w:hanging="770"/>
      </w:pPr>
      <w:r>
        <w:rPr>
          <w:b/>
        </w:rPr>
        <w:t xml:space="preserve">Períodicidad de la Facturación y Nacimiento de la obligación al Pago. </w:t>
      </w:r>
    </w:p>
    <w:p w:rsidR="00A257CE" w:rsidRDefault="0041653A">
      <w:pPr>
        <w:numPr>
          <w:ilvl w:val="4"/>
          <w:numId w:val="6"/>
        </w:numPr>
        <w:ind w:right="555" w:hanging="360"/>
      </w:pPr>
      <w:r>
        <w:t>Nace la obligación</w:t>
      </w:r>
      <w:r>
        <w:t xml:space="preserve"> de contribuir desde el momento en que se inicia la prestación del servicio, entendiéndose iniciada, dada la naturaleza de recepción obligatoria del mismo, cuando esté establecida y en funcionamiento el servicio municipal de conservación y mantenimiento de</w:t>
      </w:r>
      <w:r>
        <w:t xml:space="preserve"> los sistemas municipales de gestión del ciclo </w:t>
      </w:r>
      <w:r>
        <w:lastRenderedPageBreak/>
        <w:t xml:space="preserve">integral del agua y las actividades conexas a los mismos el término municipal de Candelaria. </w:t>
      </w:r>
    </w:p>
    <w:p w:rsidR="00A257CE" w:rsidRDefault="0041653A">
      <w:pPr>
        <w:numPr>
          <w:ilvl w:val="4"/>
          <w:numId w:val="6"/>
        </w:numPr>
        <w:ind w:right="555" w:hanging="360"/>
      </w:pPr>
      <w:r>
        <w:t>Los servicios de evacuación de excretas, aguas pluviales, negras y residuales, tienen carácter obligatorio para tod</w:t>
      </w:r>
      <w:r>
        <w:t xml:space="preserve">as las fincas del municipio que tengas fachada a calles, plazas o vías públicas en que exista alcantarillado, siempre que la distancia entre la red y la finca no exceda de cien metros, y se devengará la prestación patrimonial de carácter no tributario aún </w:t>
      </w:r>
      <w:r>
        <w:t xml:space="preserve">cuando los interesados no procedan a efectuar la acometida a la red. </w:t>
      </w:r>
    </w:p>
    <w:p w:rsidR="00A257CE" w:rsidRDefault="0041653A">
      <w:pPr>
        <w:numPr>
          <w:ilvl w:val="1"/>
          <w:numId w:val="7"/>
        </w:numPr>
        <w:ind w:right="555" w:hanging="432"/>
      </w:pPr>
      <w:r>
        <w:t xml:space="preserve">Salvo lo dispuesto en el apartado 2.3 de este artículo, el período de facturación coincide con el año natural. </w:t>
      </w:r>
    </w:p>
    <w:p w:rsidR="00A257CE" w:rsidRDefault="0041653A">
      <w:pPr>
        <w:numPr>
          <w:ilvl w:val="1"/>
          <w:numId w:val="7"/>
        </w:numPr>
        <w:ind w:right="555" w:hanging="432"/>
      </w:pPr>
      <w:r>
        <w:t>La prestación patrimonial de carácter no tributario se devenga el primer d</w:t>
      </w:r>
      <w:r>
        <w:t xml:space="preserve">ía del año. </w:t>
      </w:r>
    </w:p>
    <w:p w:rsidR="00A257CE" w:rsidRDefault="0041653A">
      <w:pPr>
        <w:numPr>
          <w:ilvl w:val="1"/>
          <w:numId w:val="7"/>
        </w:numPr>
        <w:ind w:right="555" w:hanging="432"/>
      </w:pPr>
      <w:r>
        <w:t>Para los supuestos de inicio o cese en el uso del servicio, el período de facturación se ajustará a esa circunstancia comprendiendo, respectivamente, desde la fecha de inicio hasta el último día del bimestre natural que le corresponda, o desde</w:t>
      </w:r>
      <w:r>
        <w:t xml:space="preserve"> el primer día de éste hasta la fecha de cese; en estos casos, procederá el prorrateo de la cuota en función del tiempo de esta manera establecido. </w:t>
      </w:r>
    </w:p>
    <w:p w:rsidR="00A257CE" w:rsidRDefault="0041653A">
      <w:pPr>
        <w:spacing w:after="16" w:line="256" w:lineRule="auto"/>
        <w:ind w:left="737" w:right="0" w:firstLine="0"/>
        <w:jc w:val="left"/>
      </w:pPr>
      <w:r>
        <w:rPr>
          <w:b/>
        </w:rPr>
        <w:t xml:space="preserve"> </w:t>
      </w:r>
    </w:p>
    <w:p w:rsidR="00A257CE" w:rsidRDefault="0041653A">
      <w:pPr>
        <w:numPr>
          <w:ilvl w:val="0"/>
          <w:numId w:val="5"/>
        </w:numPr>
        <w:spacing w:after="29" w:line="247" w:lineRule="auto"/>
        <w:ind w:left="1323" w:right="554" w:hanging="770"/>
      </w:pPr>
      <w:r>
        <w:rPr>
          <w:b/>
        </w:rPr>
        <w:t xml:space="preserve">Condiciones Generales de Prestación del Servicio. </w:t>
      </w:r>
    </w:p>
    <w:p w:rsidR="00A257CE" w:rsidRDefault="0041653A">
      <w:pPr>
        <w:numPr>
          <w:ilvl w:val="4"/>
          <w:numId w:val="8"/>
        </w:numPr>
        <w:ind w:right="680" w:hanging="360"/>
      </w:pPr>
      <w:r>
        <w:t xml:space="preserve">Para poder figurar como abonado al servicio municipal </w:t>
      </w:r>
      <w:r>
        <w:t>de aguas, el interesado deberá solicitar del Ayuntamiento la licencia de acople correspondiente. Obtenida la licencia y previo pago de los derechos establecidos, la condición de abonado se formalizará inexcusablemente en una póliza o contrato de adhesión s</w:t>
      </w:r>
      <w:r>
        <w:t xml:space="preserve">uscrita, por duplicado, entre el abonado y la Administración Municipal, que podrá estar representada por una empresa concesionaria del servicio si lo hubiera. La firma de la póliza obliga a ambas partes al cumplimiento de sus cláusulas, en las que deberán </w:t>
      </w:r>
      <w:r>
        <w:t xml:space="preserve">figurar las condiciones básicas por las que se rige el servicio. </w:t>
      </w:r>
    </w:p>
    <w:p w:rsidR="00A257CE" w:rsidRDefault="0041653A">
      <w:pPr>
        <w:numPr>
          <w:ilvl w:val="4"/>
          <w:numId w:val="8"/>
        </w:numPr>
        <w:ind w:right="680" w:hanging="360"/>
      </w:pPr>
      <w:r>
        <w:t>La prestación de los servicios de abastecimiento de agua potable, de evacuación de excretas, aguas pluviales, negras y residuales, a través de la red de alcantarillado municipal, y su tratam</w:t>
      </w:r>
      <w:r>
        <w:t>iento para depurarlas, estará sujeta al suministro de agua cuyo consumo se medirá por un aparato contador que deberá ser verificado oficialmente antes de su puesta en servicio. Cuando en un mismo edificio existe más de un abonado, cada uno precisará de con</w:t>
      </w:r>
      <w:r>
        <w:t>tador independiente, situados en planta baja, colocados en batería y de forma que el personal del servicio tenga acceso a los mismos. Asimismo, todos los contadores de viviendas unifamiliares y de edificios individuales deberán estar instalados en fachadas</w:t>
      </w:r>
      <w:r>
        <w:t xml:space="preserve"> o arquetas con acceso desde el exterior. En todo caso, antes del contador no podrá existir ningún tipo de instalación que permita consumo o pérdida de agua sin registrar. </w:t>
      </w:r>
    </w:p>
    <w:p w:rsidR="00A257CE" w:rsidRDefault="0041653A">
      <w:pPr>
        <w:numPr>
          <w:ilvl w:val="4"/>
          <w:numId w:val="8"/>
        </w:numPr>
        <w:ind w:right="680" w:hanging="360"/>
      </w:pPr>
      <w:r>
        <w:t>Con independencia de las condiciones generales que figuren en la póliza, la prestac</w:t>
      </w:r>
      <w:r>
        <w:t xml:space="preserve">ión del servicio se realizará en la forma y condiciones establecidas en el Reglamento que lo regula, que será vigente en cada momento, en especial en lo referente a las características de las instalaciones. </w:t>
      </w:r>
    </w:p>
    <w:p w:rsidR="00A257CE" w:rsidRDefault="0041653A">
      <w:pPr>
        <w:spacing w:after="16" w:line="256" w:lineRule="auto"/>
        <w:ind w:left="737" w:right="0" w:firstLine="0"/>
        <w:jc w:val="left"/>
      </w:pPr>
      <w:r>
        <w:t xml:space="preserve"> </w:t>
      </w:r>
    </w:p>
    <w:p w:rsidR="00A257CE" w:rsidRDefault="0041653A">
      <w:pPr>
        <w:numPr>
          <w:ilvl w:val="0"/>
          <w:numId w:val="5"/>
        </w:numPr>
        <w:spacing w:after="29" w:line="247" w:lineRule="auto"/>
        <w:ind w:left="1323" w:right="554" w:hanging="770"/>
      </w:pPr>
      <w:r>
        <w:rPr>
          <w:b/>
        </w:rPr>
        <w:lastRenderedPageBreak/>
        <w:t xml:space="preserve">Cuota y Tarifas. </w:t>
      </w:r>
    </w:p>
    <w:p w:rsidR="00A257CE" w:rsidRDefault="0041653A">
      <w:pPr>
        <w:ind w:left="1172" w:right="555"/>
      </w:pPr>
      <w:r>
        <w:t>1. La cuota a satisfacer por</w:t>
      </w:r>
      <w:r>
        <w:t xml:space="preserve"> el obligado al pago correspondiente al suministro o distribución de agua</w:t>
      </w:r>
      <w:r>
        <w:rPr>
          <w:b/>
        </w:rPr>
        <w:t xml:space="preserve"> </w:t>
      </w:r>
      <w:r>
        <w:t xml:space="preserve">se determinará en función de: </w:t>
      </w:r>
    </w:p>
    <w:p w:rsidR="00A257CE" w:rsidRDefault="0041653A">
      <w:pPr>
        <w:numPr>
          <w:ilvl w:val="5"/>
          <w:numId w:val="9"/>
        </w:numPr>
        <w:ind w:left="1531" w:right="555" w:hanging="360"/>
      </w:pPr>
      <w:r>
        <w:t>Derecho de acometida a la red general de abastecimiento: el hecho de la conexión a la red por cada inmueble, vivienda individual, local comercial o sum</w:t>
      </w:r>
      <w:r>
        <w:t xml:space="preserve">inistro para obras. </w:t>
      </w:r>
    </w:p>
    <w:p w:rsidR="00A257CE" w:rsidRDefault="0041653A">
      <w:pPr>
        <w:numPr>
          <w:ilvl w:val="5"/>
          <w:numId w:val="9"/>
        </w:numPr>
        <w:ind w:left="1531" w:right="555" w:hanging="360"/>
      </w:pPr>
      <w:r>
        <w:t xml:space="preserve">Ejecución de acometida: ejecución, si procede, de nueva acometida desde la red municipal de abastecimiento hasta la llave de registro. </w:t>
      </w:r>
    </w:p>
    <w:p w:rsidR="00A257CE" w:rsidRDefault="0041653A">
      <w:pPr>
        <w:numPr>
          <w:ilvl w:val="5"/>
          <w:numId w:val="9"/>
        </w:numPr>
        <w:ind w:left="1531" w:right="555" w:hanging="360"/>
      </w:pPr>
      <w:r>
        <w:t xml:space="preserve">La colocación y utilización de contador: el calibre del contador a instalar. </w:t>
      </w:r>
    </w:p>
    <w:p w:rsidR="00A257CE" w:rsidRDefault="0041653A">
      <w:pPr>
        <w:numPr>
          <w:ilvl w:val="5"/>
          <w:numId w:val="9"/>
        </w:numPr>
        <w:ind w:left="1531" w:right="555" w:hanging="360"/>
      </w:pPr>
      <w:r>
        <w:t>Los metros cúbicos de</w:t>
      </w:r>
      <w:r>
        <w:t xml:space="preserve"> agua consumida en el inmueble donde esté instalado el servicio. </w:t>
      </w:r>
    </w:p>
    <w:p w:rsidR="00A257CE" w:rsidRDefault="0041653A">
      <w:pPr>
        <w:spacing w:after="19" w:line="256" w:lineRule="auto"/>
        <w:ind w:left="1456" w:right="0" w:firstLine="0"/>
        <w:jc w:val="left"/>
      </w:pPr>
      <w:r>
        <w:t xml:space="preserve"> </w:t>
      </w:r>
    </w:p>
    <w:p w:rsidR="00A257CE" w:rsidRDefault="0041653A">
      <w:pPr>
        <w:ind w:left="1106" w:right="555" w:firstLine="0"/>
      </w:pPr>
      <w:r>
        <w:t xml:space="preserve">Las tarifas a aplicar son las siguientes: </w:t>
      </w:r>
    </w:p>
    <w:p w:rsidR="00A257CE" w:rsidRDefault="0041653A">
      <w:pPr>
        <w:ind w:left="1384" w:right="555" w:firstLine="0"/>
      </w:pPr>
      <w:r>
        <w:t xml:space="preserve">1.1. Acoples a la red.  </w:t>
      </w:r>
    </w:p>
    <w:p w:rsidR="00A257CE" w:rsidRDefault="0041653A">
      <w:pPr>
        <w:ind w:left="2382" w:right="555" w:hanging="566"/>
      </w:pPr>
      <w:r>
        <w:t xml:space="preserve">1.1.1. Por concesión de la licencia de acometida a la red general de agua </w:t>
      </w:r>
    </w:p>
    <w:p w:rsidR="00A257CE" w:rsidRDefault="0041653A">
      <w:pPr>
        <w:numPr>
          <w:ilvl w:val="3"/>
          <w:numId w:val="10"/>
        </w:numPr>
        <w:ind w:right="555" w:hanging="790"/>
      </w:pPr>
      <w:r>
        <w:t xml:space="preserve">Para abonados con uso doméstico 42,37 euros </w:t>
      </w:r>
    </w:p>
    <w:p w:rsidR="00A257CE" w:rsidRDefault="0041653A">
      <w:pPr>
        <w:numPr>
          <w:ilvl w:val="3"/>
          <w:numId w:val="10"/>
        </w:numPr>
        <w:ind w:right="555" w:hanging="790"/>
      </w:pPr>
      <w:r>
        <w:t xml:space="preserve">Para abonados con uso industrial o comercial 63,56 euros </w:t>
      </w:r>
    </w:p>
    <w:p w:rsidR="00A257CE" w:rsidRDefault="0041653A">
      <w:pPr>
        <w:numPr>
          <w:ilvl w:val="2"/>
          <w:numId w:val="11"/>
        </w:numPr>
        <w:ind w:left="2382" w:right="645" w:hanging="566"/>
      </w:pPr>
      <w:r>
        <w:t xml:space="preserve">Por unidad de ejecución de nueva acometida desde la red municipal de abastecimiento hasta la llave de registro, derivada de cualquier red y longitud hasta 20 metros lineales. </w:t>
      </w:r>
    </w:p>
    <w:p w:rsidR="00A257CE" w:rsidRDefault="0041653A">
      <w:pPr>
        <w:spacing w:after="0" w:line="256" w:lineRule="auto"/>
        <w:ind w:left="398" w:right="0" w:firstLine="0"/>
        <w:jc w:val="left"/>
      </w:pPr>
      <w:r>
        <w:t xml:space="preserve"> </w:t>
      </w:r>
    </w:p>
    <w:tbl>
      <w:tblPr>
        <w:tblW w:w="5749" w:type="dxa"/>
        <w:tblInd w:w="3262" w:type="dxa"/>
        <w:tblCellMar>
          <w:left w:w="10" w:type="dxa"/>
          <w:right w:w="10" w:type="dxa"/>
        </w:tblCellMar>
        <w:tblLook w:val="0000" w:firstRow="0" w:lastRow="0" w:firstColumn="0" w:lastColumn="0" w:noHBand="0" w:noVBand="0"/>
      </w:tblPr>
      <w:tblGrid>
        <w:gridCol w:w="1742"/>
        <w:gridCol w:w="1666"/>
        <w:gridCol w:w="2341"/>
      </w:tblGrid>
      <w:tr w:rsidR="00A257CE">
        <w:tblPrEx>
          <w:tblCellMar>
            <w:top w:w="0" w:type="dxa"/>
            <w:bottom w:w="0" w:type="dxa"/>
          </w:tblCellMar>
        </w:tblPrEx>
        <w:trPr>
          <w:trHeight w:val="593"/>
        </w:trPr>
        <w:tc>
          <w:tcPr>
            <w:tcW w:w="3408"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0" w:type="dxa"/>
              <w:bottom w:w="0" w:type="dxa"/>
              <w:right w:w="47" w:type="dxa"/>
            </w:tcMar>
          </w:tcPr>
          <w:p w:rsidR="00A257CE" w:rsidRDefault="0041653A">
            <w:pPr>
              <w:spacing w:after="0" w:line="256" w:lineRule="auto"/>
              <w:ind w:left="108" w:right="0" w:firstLine="0"/>
            </w:pPr>
            <w:r>
              <w:rPr>
                <w:b/>
              </w:rPr>
              <w:t>Acometidas para cont</w:t>
            </w:r>
            <w:r>
              <w:rPr>
                <w:b/>
              </w:rPr>
              <w:t xml:space="preserve">adores de calibre: </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50" w:type="dxa"/>
              <w:left w:w="0" w:type="dxa"/>
              <w:bottom w:w="0" w:type="dxa"/>
              <w:right w:w="47" w:type="dxa"/>
            </w:tcMar>
          </w:tcPr>
          <w:p w:rsidR="00A257CE" w:rsidRDefault="0041653A">
            <w:pPr>
              <w:spacing w:after="0" w:line="256" w:lineRule="auto"/>
              <w:ind w:left="36" w:right="0" w:firstLine="0"/>
              <w:jc w:val="center"/>
            </w:pPr>
            <w:r>
              <w:rPr>
                <w:b/>
              </w:rPr>
              <w:t xml:space="preserve">Valoración económica </w:t>
            </w:r>
          </w:p>
        </w:tc>
      </w:tr>
      <w:tr w:rsidR="00A257CE">
        <w:tblPrEx>
          <w:tblCellMar>
            <w:top w:w="0" w:type="dxa"/>
            <w:bottom w:w="0" w:type="dxa"/>
          </w:tblCellMar>
        </w:tblPrEx>
        <w:trPr>
          <w:trHeight w:val="300"/>
        </w:trPr>
        <w:tc>
          <w:tcPr>
            <w:tcW w:w="1742" w:type="dxa"/>
            <w:tcBorders>
              <w:top w:val="single" w:sz="4" w:space="0" w:color="000000"/>
              <w:left w:val="single" w:sz="4" w:space="0" w:color="000000"/>
              <w:bottom w:val="single" w:sz="4" w:space="0" w:color="000000"/>
            </w:tcBorders>
            <w:shd w:val="clear" w:color="auto" w:fill="auto"/>
            <w:tcMar>
              <w:top w:w="50" w:type="dxa"/>
              <w:left w:w="0" w:type="dxa"/>
              <w:bottom w:w="0" w:type="dxa"/>
              <w:right w:w="47" w:type="dxa"/>
            </w:tcMar>
          </w:tcPr>
          <w:p w:rsidR="00A257CE" w:rsidRDefault="0041653A">
            <w:pPr>
              <w:spacing w:after="0" w:line="256" w:lineRule="auto"/>
              <w:ind w:left="108" w:right="0" w:firstLine="0"/>
              <w:jc w:val="left"/>
            </w:pPr>
            <w:r>
              <w:t xml:space="preserve">DN 13-15mm </w:t>
            </w:r>
          </w:p>
        </w:tc>
        <w:tc>
          <w:tcPr>
            <w:tcW w:w="1666" w:type="dxa"/>
            <w:tcBorders>
              <w:top w:val="single" w:sz="4" w:space="0" w:color="000000"/>
              <w:bottom w:val="single" w:sz="4" w:space="0" w:color="000000"/>
              <w:right w:val="single" w:sz="4" w:space="0" w:color="000000"/>
            </w:tcBorders>
            <w:shd w:val="clear" w:color="auto" w:fill="auto"/>
            <w:tcMar>
              <w:top w:w="50" w:type="dxa"/>
              <w:left w:w="0" w:type="dxa"/>
              <w:bottom w:w="0" w:type="dxa"/>
              <w:right w:w="47" w:type="dxa"/>
            </w:tcMar>
          </w:tcPr>
          <w:p w:rsidR="00A257CE" w:rsidRDefault="00A257CE">
            <w:pPr>
              <w:spacing w:after="160" w:line="256" w:lineRule="auto"/>
              <w:ind w:left="0" w:right="0" w:firstLine="0"/>
              <w:jc w:val="left"/>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50" w:type="dxa"/>
              <w:left w:w="0" w:type="dxa"/>
              <w:bottom w:w="0" w:type="dxa"/>
              <w:right w:w="47" w:type="dxa"/>
            </w:tcMar>
          </w:tcPr>
          <w:p w:rsidR="00A257CE" w:rsidRDefault="0041653A">
            <w:pPr>
              <w:spacing w:after="0" w:line="256" w:lineRule="auto"/>
              <w:ind w:left="0" w:right="61" w:firstLine="0"/>
              <w:jc w:val="right"/>
            </w:pPr>
            <w:r>
              <w:t xml:space="preserve">159,30 euros </w:t>
            </w:r>
          </w:p>
        </w:tc>
      </w:tr>
      <w:tr w:rsidR="00A257CE">
        <w:tblPrEx>
          <w:tblCellMar>
            <w:top w:w="0" w:type="dxa"/>
            <w:bottom w:w="0" w:type="dxa"/>
          </w:tblCellMar>
        </w:tblPrEx>
        <w:trPr>
          <w:trHeight w:val="300"/>
        </w:trPr>
        <w:tc>
          <w:tcPr>
            <w:tcW w:w="1742" w:type="dxa"/>
            <w:tcBorders>
              <w:top w:val="single" w:sz="4" w:space="0" w:color="000000"/>
              <w:left w:val="single" w:sz="4" w:space="0" w:color="000000"/>
              <w:bottom w:val="single" w:sz="4" w:space="0" w:color="000000"/>
            </w:tcBorders>
            <w:shd w:val="clear" w:color="auto" w:fill="auto"/>
            <w:tcMar>
              <w:top w:w="50" w:type="dxa"/>
              <w:left w:w="0" w:type="dxa"/>
              <w:bottom w:w="0" w:type="dxa"/>
              <w:right w:w="47" w:type="dxa"/>
            </w:tcMar>
          </w:tcPr>
          <w:p w:rsidR="00A257CE" w:rsidRDefault="0041653A">
            <w:pPr>
              <w:spacing w:after="0" w:line="256" w:lineRule="auto"/>
              <w:ind w:left="108" w:right="0" w:firstLine="0"/>
              <w:jc w:val="left"/>
            </w:pPr>
            <w:r>
              <w:t xml:space="preserve">DN 20-25mm </w:t>
            </w:r>
          </w:p>
        </w:tc>
        <w:tc>
          <w:tcPr>
            <w:tcW w:w="1666" w:type="dxa"/>
            <w:tcBorders>
              <w:top w:val="single" w:sz="4" w:space="0" w:color="000000"/>
              <w:bottom w:val="single" w:sz="4" w:space="0" w:color="000000"/>
              <w:right w:val="single" w:sz="4" w:space="0" w:color="000000"/>
            </w:tcBorders>
            <w:shd w:val="clear" w:color="auto" w:fill="auto"/>
            <w:tcMar>
              <w:top w:w="50" w:type="dxa"/>
              <w:left w:w="0" w:type="dxa"/>
              <w:bottom w:w="0" w:type="dxa"/>
              <w:right w:w="47" w:type="dxa"/>
            </w:tcMar>
          </w:tcPr>
          <w:p w:rsidR="00A257CE" w:rsidRDefault="00A257CE">
            <w:pPr>
              <w:spacing w:after="160" w:line="256" w:lineRule="auto"/>
              <w:ind w:left="0" w:right="0" w:firstLine="0"/>
              <w:jc w:val="left"/>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50" w:type="dxa"/>
              <w:left w:w="0" w:type="dxa"/>
              <w:bottom w:w="0" w:type="dxa"/>
              <w:right w:w="47" w:type="dxa"/>
            </w:tcMar>
          </w:tcPr>
          <w:p w:rsidR="00A257CE" w:rsidRDefault="0041653A">
            <w:pPr>
              <w:spacing w:after="0" w:line="256" w:lineRule="auto"/>
              <w:ind w:left="0" w:right="61" w:firstLine="0"/>
              <w:jc w:val="right"/>
            </w:pPr>
            <w:r>
              <w:t xml:space="preserve">189,16 euros </w:t>
            </w:r>
          </w:p>
        </w:tc>
      </w:tr>
      <w:tr w:rsidR="00A257CE">
        <w:tblPrEx>
          <w:tblCellMar>
            <w:top w:w="0" w:type="dxa"/>
            <w:bottom w:w="0" w:type="dxa"/>
          </w:tblCellMar>
        </w:tblPrEx>
        <w:trPr>
          <w:trHeight w:val="302"/>
        </w:trPr>
        <w:tc>
          <w:tcPr>
            <w:tcW w:w="1742" w:type="dxa"/>
            <w:tcBorders>
              <w:top w:val="single" w:sz="4" w:space="0" w:color="000000"/>
              <w:left w:val="single" w:sz="4" w:space="0" w:color="000000"/>
              <w:bottom w:val="single" w:sz="4" w:space="0" w:color="000000"/>
            </w:tcBorders>
            <w:shd w:val="clear" w:color="auto" w:fill="auto"/>
            <w:tcMar>
              <w:top w:w="50" w:type="dxa"/>
              <w:left w:w="0" w:type="dxa"/>
              <w:bottom w:w="0" w:type="dxa"/>
              <w:right w:w="47" w:type="dxa"/>
            </w:tcMar>
          </w:tcPr>
          <w:p w:rsidR="00A257CE" w:rsidRDefault="0041653A">
            <w:pPr>
              <w:spacing w:after="0" w:line="256" w:lineRule="auto"/>
              <w:ind w:left="108" w:right="0" w:firstLine="0"/>
              <w:jc w:val="left"/>
            </w:pPr>
            <w:r>
              <w:t xml:space="preserve">DN 30-32mm </w:t>
            </w:r>
          </w:p>
        </w:tc>
        <w:tc>
          <w:tcPr>
            <w:tcW w:w="1666" w:type="dxa"/>
            <w:tcBorders>
              <w:top w:val="single" w:sz="4" w:space="0" w:color="000000"/>
              <w:bottom w:val="single" w:sz="4" w:space="0" w:color="000000"/>
              <w:right w:val="single" w:sz="4" w:space="0" w:color="000000"/>
            </w:tcBorders>
            <w:shd w:val="clear" w:color="auto" w:fill="auto"/>
            <w:tcMar>
              <w:top w:w="50" w:type="dxa"/>
              <w:left w:w="0" w:type="dxa"/>
              <w:bottom w:w="0" w:type="dxa"/>
              <w:right w:w="47" w:type="dxa"/>
            </w:tcMar>
          </w:tcPr>
          <w:p w:rsidR="00A257CE" w:rsidRDefault="00A257CE">
            <w:pPr>
              <w:spacing w:after="160" w:line="256" w:lineRule="auto"/>
              <w:ind w:left="0" w:right="0" w:firstLine="0"/>
              <w:jc w:val="left"/>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50" w:type="dxa"/>
              <w:left w:w="0" w:type="dxa"/>
              <w:bottom w:w="0" w:type="dxa"/>
              <w:right w:w="47" w:type="dxa"/>
            </w:tcMar>
          </w:tcPr>
          <w:p w:rsidR="00A257CE" w:rsidRDefault="0041653A">
            <w:pPr>
              <w:spacing w:after="0" w:line="256" w:lineRule="auto"/>
              <w:ind w:left="0" w:right="61" w:firstLine="0"/>
              <w:jc w:val="right"/>
            </w:pPr>
            <w:r>
              <w:t xml:space="preserve">257,20 euros </w:t>
            </w:r>
          </w:p>
        </w:tc>
      </w:tr>
      <w:tr w:rsidR="00A257CE">
        <w:tblPrEx>
          <w:tblCellMar>
            <w:top w:w="0" w:type="dxa"/>
            <w:bottom w:w="0" w:type="dxa"/>
          </w:tblCellMar>
        </w:tblPrEx>
        <w:trPr>
          <w:trHeight w:val="300"/>
        </w:trPr>
        <w:tc>
          <w:tcPr>
            <w:tcW w:w="1742" w:type="dxa"/>
            <w:tcBorders>
              <w:top w:val="single" w:sz="4" w:space="0" w:color="000000"/>
              <w:left w:val="single" w:sz="4" w:space="0" w:color="000000"/>
              <w:bottom w:val="single" w:sz="4" w:space="0" w:color="000000"/>
            </w:tcBorders>
            <w:shd w:val="clear" w:color="auto" w:fill="auto"/>
            <w:tcMar>
              <w:top w:w="50" w:type="dxa"/>
              <w:left w:w="0" w:type="dxa"/>
              <w:bottom w:w="0" w:type="dxa"/>
              <w:right w:w="47" w:type="dxa"/>
            </w:tcMar>
          </w:tcPr>
          <w:p w:rsidR="00A257CE" w:rsidRDefault="0041653A">
            <w:pPr>
              <w:spacing w:after="0" w:line="256" w:lineRule="auto"/>
              <w:ind w:left="108" w:right="0" w:firstLine="0"/>
              <w:jc w:val="left"/>
            </w:pPr>
            <w:r>
              <w:t xml:space="preserve">DN 40 mm: </w:t>
            </w:r>
          </w:p>
        </w:tc>
        <w:tc>
          <w:tcPr>
            <w:tcW w:w="1666" w:type="dxa"/>
            <w:tcBorders>
              <w:top w:val="single" w:sz="4" w:space="0" w:color="000000"/>
              <w:bottom w:val="single" w:sz="4" w:space="0" w:color="000000"/>
              <w:right w:val="single" w:sz="4" w:space="0" w:color="000000"/>
            </w:tcBorders>
            <w:shd w:val="clear" w:color="auto" w:fill="auto"/>
            <w:tcMar>
              <w:top w:w="50" w:type="dxa"/>
              <w:left w:w="0" w:type="dxa"/>
              <w:bottom w:w="0" w:type="dxa"/>
              <w:right w:w="47" w:type="dxa"/>
            </w:tcMar>
          </w:tcPr>
          <w:p w:rsidR="00A257CE" w:rsidRDefault="00A257CE">
            <w:pPr>
              <w:spacing w:after="160" w:line="256" w:lineRule="auto"/>
              <w:ind w:left="0" w:right="0" w:firstLine="0"/>
              <w:jc w:val="left"/>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50" w:type="dxa"/>
              <w:left w:w="0" w:type="dxa"/>
              <w:bottom w:w="0" w:type="dxa"/>
              <w:right w:w="47" w:type="dxa"/>
            </w:tcMar>
          </w:tcPr>
          <w:p w:rsidR="00A257CE" w:rsidRDefault="0041653A">
            <w:pPr>
              <w:spacing w:after="0" w:line="256" w:lineRule="auto"/>
              <w:ind w:left="0" w:right="61" w:firstLine="0"/>
              <w:jc w:val="right"/>
            </w:pPr>
            <w:r>
              <w:t xml:space="preserve">359,18 euros </w:t>
            </w:r>
          </w:p>
        </w:tc>
      </w:tr>
      <w:tr w:rsidR="00A257CE">
        <w:tblPrEx>
          <w:tblCellMar>
            <w:top w:w="0" w:type="dxa"/>
            <w:bottom w:w="0" w:type="dxa"/>
          </w:tblCellMar>
        </w:tblPrEx>
        <w:trPr>
          <w:trHeight w:val="302"/>
        </w:trPr>
        <w:tc>
          <w:tcPr>
            <w:tcW w:w="1742" w:type="dxa"/>
            <w:tcBorders>
              <w:top w:val="single" w:sz="4" w:space="0" w:color="000000"/>
              <w:left w:val="single" w:sz="4" w:space="0" w:color="000000"/>
              <w:bottom w:val="single" w:sz="4" w:space="0" w:color="000000"/>
            </w:tcBorders>
            <w:shd w:val="clear" w:color="auto" w:fill="auto"/>
            <w:tcMar>
              <w:top w:w="50" w:type="dxa"/>
              <w:left w:w="0" w:type="dxa"/>
              <w:bottom w:w="0" w:type="dxa"/>
              <w:right w:w="47" w:type="dxa"/>
            </w:tcMar>
          </w:tcPr>
          <w:p w:rsidR="00A257CE" w:rsidRDefault="0041653A">
            <w:pPr>
              <w:spacing w:after="0" w:line="256" w:lineRule="auto"/>
              <w:ind w:left="108" w:right="0" w:firstLine="0"/>
              <w:jc w:val="left"/>
            </w:pPr>
            <w:r>
              <w:t xml:space="preserve">DN 50 mm: </w:t>
            </w:r>
          </w:p>
        </w:tc>
        <w:tc>
          <w:tcPr>
            <w:tcW w:w="1666" w:type="dxa"/>
            <w:tcBorders>
              <w:top w:val="single" w:sz="4" w:space="0" w:color="000000"/>
              <w:bottom w:val="single" w:sz="4" w:space="0" w:color="000000"/>
              <w:right w:val="single" w:sz="4" w:space="0" w:color="000000"/>
            </w:tcBorders>
            <w:shd w:val="clear" w:color="auto" w:fill="auto"/>
            <w:tcMar>
              <w:top w:w="50" w:type="dxa"/>
              <w:left w:w="0" w:type="dxa"/>
              <w:bottom w:w="0" w:type="dxa"/>
              <w:right w:w="47" w:type="dxa"/>
            </w:tcMar>
          </w:tcPr>
          <w:p w:rsidR="00A257CE" w:rsidRDefault="00A257CE">
            <w:pPr>
              <w:spacing w:after="160" w:line="256" w:lineRule="auto"/>
              <w:ind w:left="0" w:right="0" w:firstLine="0"/>
              <w:jc w:val="left"/>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50" w:type="dxa"/>
              <w:left w:w="0" w:type="dxa"/>
              <w:bottom w:w="0" w:type="dxa"/>
              <w:right w:w="47" w:type="dxa"/>
            </w:tcMar>
          </w:tcPr>
          <w:p w:rsidR="00A257CE" w:rsidRDefault="0041653A">
            <w:pPr>
              <w:spacing w:after="0" w:line="256" w:lineRule="auto"/>
              <w:ind w:left="0" w:right="61" w:firstLine="0"/>
              <w:jc w:val="right"/>
            </w:pPr>
            <w:r>
              <w:t xml:space="preserve">359,18 euros </w:t>
            </w:r>
          </w:p>
        </w:tc>
      </w:tr>
      <w:tr w:rsidR="00A257CE">
        <w:tblPrEx>
          <w:tblCellMar>
            <w:top w:w="0" w:type="dxa"/>
            <w:bottom w:w="0" w:type="dxa"/>
          </w:tblCellMar>
        </w:tblPrEx>
        <w:trPr>
          <w:trHeight w:val="300"/>
        </w:trPr>
        <w:tc>
          <w:tcPr>
            <w:tcW w:w="1742" w:type="dxa"/>
            <w:tcBorders>
              <w:top w:val="single" w:sz="4" w:space="0" w:color="000000"/>
              <w:left w:val="single" w:sz="4" w:space="0" w:color="000000"/>
              <w:bottom w:val="single" w:sz="4" w:space="0" w:color="000000"/>
            </w:tcBorders>
            <w:shd w:val="clear" w:color="auto" w:fill="auto"/>
            <w:tcMar>
              <w:top w:w="50" w:type="dxa"/>
              <w:left w:w="0" w:type="dxa"/>
              <w:bottom w:w="0" w:type="dxa"/>
              <w:right w:w="47" w:type="dxa"/>
            </w:tcMar>
          </w:tcPr>
          <w:p w:rsidR="00A257CE" w:rsidRDefault="0041653A">
            <w:pPr>
              <w:spacing w:after="0" w:line="256" w:lineRule="auto"/>
              <w:ind w:left="108" w:right="0" w:firstLine="0"/>
              <w:jc w:val="left"/>
            </w:pPr>
            <w:r>
              <w:t xml:space="preserve">DN 65 mm: </w:t>
            </w:r>
          </w:p>
        </w:tc>
        <w:tc>
          <w:tcPr>
            <w:tcW w:w="1666" w:type="dxa"/>
            <w:tcBorders>
              <w:top w:val="single" w:sz="4" w:space="0" w:color="000000"/>
              <w:bottom w:val="single" w:sz="4" w:space="0" w:color="000000"/>
              <w:right w:val="single" w:sz="4" w:space="0" w:color="000000"/>
            </w:tcBorders>
            <w:shd w:val="clear" w:color="auto" w:fill="auto"/>
            <w:tcMar>
              <w:top w:w="50" w:type="dxa"/>
              <w:left w:w="0" w:type="dxa"/>
              <w:bottom w:w="0" w:type="dxa"/>
              <w:right w:w="47" w:type="dxa"/>
            </w:tcMar>
          </w:tcPr>
          <w:p w:rsidR="00A257CE" w:rsidRDefault="00A257CE">
            <w:pPr>
              <w:spacing w:after="160" w:line="256" w:lineRule="auto"/>
              <w:ind w:left="0" w:right="0" w:firstLine="0"/>
              <w:jc w:val="left"/>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50" w:type="dxa"/>
              <w:left w:w="0" w:type="dxa"/>
              <w:bottom w:w="0" w:type="dxa"/>
              <w:right w:w="47" w:type="dxa"/>
            </w:tcMar>
          </w:tcPr>
          <w:p w:rsidR="00A257CE" w:rsidRDefault="0041653A">
            <w:pPr>
              <w:spacing w:after="0" w:line="256" w:lineRule="auto"/>
              <w:ind w:left="0" w:right="61" w:firstLine="0"/>
              <w:jc w:val="right"/>
            </w:pPr>
            <w:r>
              <w:t xml:space="preserve">533,85 euros </w:t>
            </w:r>
          </w:p>
        </w:tc>
      </w:tr>
      <w:tr w:rsidR="00A257CE">
        <w:tblPrEx>
          <w:tblCellMar>
            <w:top w:w="0" w:type="dxa"/>
            <w:bottom w:w="0" w:type="dxa"/>
          </w:tblCellMar>
        </w:tblPrEx>
        <w:trPr>
          <w:trHeight w:val="300"/>
        </w:trPr>
        <w:tc>
          <w:tcPr>
            <w:tcW w:w="1742" w:type="dxa"/>
            <w:tcBorders>
              <w:top w:val="single" w:sz="4" w:space="0" w:color="000000"/>
              <w:left w:val="single" w:sz="4" w:space="0" w:color="000000"/>
              <w:bottom w:val="single" w:sz="4" w:space="0" w:color="000000"/>
            </w:tcBorders>
            <w:shd w:val="clear" w:color="auto" w:fill="auto"/>
            <w:tcMar>
              <w:top w:w="50" w:type="dxa"/>
              <w:left w:w="0" w:type="dxa"/>
              <w:bottom w:w="0" w:type="dxa"/>
              <w:right w:w="47" w:type="dxa"/>
            </w:tcMar>
          </w:tcPr>
          <w:p w:rsidR="00A257CE" w:rsidRDefault="0041653A">
            <w:pPr>
              <w:spacing w:after="0" w:line="256" w:lineRule="auto"/>
              <w:ind w:left="108" w:right="0" w:firstLine="0"/>
              <w:jc w:val="left"/>
            </w:pPr>
            <w:r>
              <w:t xml:space="preserve">DN 80 mm: </w:t>
            </w:r>
          </w:p>
        </w:tc>
        <w:tc>
          <w:tcPr>
            <w:tcW w:w="1666" w:type="dxa"/>
            <w:tcBorders>
              <w:top w:val="single" w:sz="4" w:space="0" w:color="000000"/>
              <w:bottom w:val="single" w:sz="4" w:space="0" w:color="000000"/>
              <w:right w:val="single" w:sz="4" w:space="0" w:color="000000"/>
            </w:tcBorders>
            <w:shd w:val="clear" w:color="auto" w:fill="auto"/>
            <w:tcMar>
              <w:top w:w="50" w:type="dxa"/>
              <w:left w:w="0" w:type="dxa"/>
              <w:bottom w:w="0" w:type="dxa"/>
              <w:right w:w="47" w:type="dxa"/>
            </w:tcMar>
          </w:tcPr>
          <w:p w:rsidR="00A257CE" w:rsidRDefault="00A257CE">
            <w:pPr>
              <w:spacing w:after="160" w:line="256" w:lineRule="auto"/>
              <w:ind w:left="0" w:right="0" w:firstLine="0"/>
              <w:jc w:val="left"/>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50" w:type="dxa"/>
              <w:left w:w="0" w:type="dxa"/>
              <w:bottom w:w="0" w:type="dxa"/>
              <w:right w:w="47" w:type="dxa"/>
            </w:tcMar>
          </w:tcPr>
          <w:p w:rsidR="00A257CE" w:rsidRDefault="0041653A">
            <w:pPr>
              <w:spacing w:after="0" w:line="256" w:lineRule="auto"/>
              <w:ind w:left="0" w:right="61" w:firstLine="0"/>
              <w:jc w:val="right"/>
            </w:pPr>
            <w:r>
              <w:t xml:space="preserve">775,36 euros </w:t>
            </w:r>
          </w:p>
        </w:tc>
      </w:tr>
      <w:tr w:rsidR="00A257CE">
        <w:tblPrEx>
          <w:tblCellMar>
            <w:top w:w="0" w:type="dxa"/>
            <w:bottom w:w="0" w:type="dxa"/>
          </w:tblCellMar>
        </w:tblPrEx>
        <w:trPr>
          <w:trHeight w:val="593"/>
        </w:trPr>
        <w:tc>
          <w:tcPr>
            <w:tcW w:w="1742" w:type="dxa"/>
            <w:tcBorders>
              <w:top w:val="single" w:sz="4" w:space="0" w:color="000000"/>
              <w:left w:val="single" w:sz="4" w:space="0" w:color="000000"/>
              <w:bottom w:val="single" w:sz="4" w:space="0" w:color="000000"/>
            </w:tcBorders>
            <w:shd w:val="clear" w:color="auto" w:fill="auto"/>
            <w:tcMar>
              <w:top w:w="50" w:type="dxa"/>
              <w:left w:w="0" w:type="dxa"/>
              <w:bottom w:w="0" w:type="dxa"/>
              <w:right w:w="47" w:type="dxa"/>
            </w:tcMar>
          </w:tcPr>
          <w:p w:rsidR="00A257CE" w:rsidRDefault="0041653A">
            <w:pPr>
              <w:tabs>
                <w:tab w:val="center" w:pos="1273"/>
              </w:tabs>
              <w:spacing w:after="23" w:line="256" w:lineRule="auto"/>
              <w:ind w:left="0" w:right="0" w:firstLine="0"/>
              <w:jc w:val="left"/>
            </w:pPr>
            <w:r>
              <w:t xml:space="preserve">iguales </w:t>
            </w:r>
            <w:r>
              <w:tab/>
              <w:t xml:space="preserve">o </w:t>
            </w:r>
          </w:p>
          <w:p w:rsidR="00A257CE" w:rsidRDefault="0041653A">
            <w:pPr>
              <w:spacing w:after="0" w:line="256" w:lineRule="auto"/>
              <w:ind w:left="108" w:right="0" w:firstLine="0"/>
              <w:jc w:val="left"/>
            </w:pPr>
            <w:r>
              <w:t xml:space="preserve">DN100mm </w:t>
            </w:r>
          </w:p>
        </w:tc>
        <w:tc>
          <w:tcPr>
            <w:tcW w:w="1666" w:type="dxa"/>
            <w:tcBorders>
              <w:top w:val="single" w:sz="4" w:space="0" w:color="000000"/>
              <w:bottom w:val="single" w:sz="4" w:space="0" w:color="000000"/>
              <w:right w:val="single" w:sz="4" w:space="0" w:color="000000"/>
            </w:tcBorders>
            <w:shd w:val="clear" w:color="auto" w:fill="auto"/>
            <w:tcMar>
              <w:top w:w="50" w:type="dxa"/>
              <w:left w:w="0" w:type="dxa"/>
              <w:bottom w:w="0" w:type="dxa"/>
              <w:right w:w="47" w:type="dxa"/>
            </w:tcMar>
          </w:tcPr>
          <w:p w:rsidR="00A257CE" w:rsidRDefault="0041653A">
            <w:pPr>
              <w:tabs>
                <w:tab w:val="right" w:pos="1620"/>
              </w:tabs>
              <w:spacing w:after="0" w:line="256" w:lineRule="auto"/>
              <w:ind w:left="0" w:right="0" w:firstLine="0"/>
              <w:jc w:val="left"/>
            </w:pPr>
            <w:r>
              <w:t xml:space="preserve">superiores </w:t>
            </w:r>
            <w:r>
              <w:tab/>
              <w:t xml:space="preserve">a </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50" w:type="dxa"/>
              <w:left w:w="0" w:type="dxa"/>
              <w:bottom w:w="0" w:type="dxa"/>
              <w:right w:w="47" w:type="dxa"/>
            </w:tcMar>
          </w:tcPr>
          <w:p w:rsidR="00A257CE" w:rsidRDefault="0041653A">
            <w:pPr>
              <w:spacing w:after="0" w:line="256" w:lineRule="auto"/>
              <w:ind w:left="0" w:right="60" w:firstLine="0"/>
              <w:jc w:val="right"/>
            </w:pPr>
            <w:r>
              <w:t xml:space="preserve">1.123,50 euros </w:t>
            </w:r>
          </w:p>
        </w:tc>
      </w:tr>
    </w:tbl>
    <w:p w:rsidR="00A257CE" w:rsidRDefault="0041653A">
      <w:pPr>
        <w:spacing w:after="16" w:line="256" w:lineRule="auto"/>
        <w:ind w:left="2383" w:right="0" w:firstLine="0"/>
        <w:jc w:val="left"/>
      </w:pPr>
      <w:r>
        <w:t xml:space="preserve"> </w:t>
      </w:r>
    </w:p>
    <w:p w:rsidR="00A257CE" w:rsidRDefault="0041653A">
      <w:pPr>
        <w:numPr>
          <w:ilvl w:val="2"/>
          <w:numId w:val="11"/>
        </w:numPr>
        <w:ind w:left="2382" w:right="645" w:hanging="566"/>
      </w:pPr>
      <w:r>
        <w:t xml:space="preserve">Por la colocación y utilización de contador: el calibre del contador a instalar.  </w:t>
      </w:r>
    </w:p>
    <w:p w:rsidR="00A257CE" w:rsidRDefault="0041653A">
      <w:pPr>
        <w:numPr>
          <w:ilvl w:val="3"/>
          <w:numId w:val="12"/>
        </w:numPr>
        <w:ind w:right="1126" w:hanging="850"/>
      </w:pPr>
      <w:r>
        <w:t xml:space="preserve">Instalación en batería de contadores de equipo de medida, cuando se trate de un edificio de varias viviendas: </w:t>
      </w:r>
    </w:p>
    <w:p w:rsidR="00A257CE" w:rsidRDefault="0041653A">
      <w:pPr>
        <w:spacing w:after="0" w:line="256" w:lineRule="auto"/>
        <w:ind w:left="3092" w:right="0" w:firstLine="0"/>
        <w:jc w:val="left"/>
      </w:pPr>
      <w:r>
        <w:t xml:space="preserve"> </w:t>
      </w:r>
    </w:p>
    <w:tbl>
      <w:tblPr>
        <w:tblW w:w="5749" w:type="dxa"/>
        <w:tblInd w:w="3262" w:type="dxa"/>
        <w:tblCellMar>
          <w:left w:w="10" w:type="dxa"/>
          <w:right w:w="10" w:type="dxa"/>
        </w:tblCellMar>
        <w:tblLook w:val="0000" w:firstRow="0" w:lastRow="0" w:firstColumn="0" w:lastColumn="0" w:noHBand="0" w:noVBand="0"/>
      </w:tblPr>
      <w:tblGrid>
        <w:gridCol w:w="3401"/>
        <w:gridCol w:w="2348"/>
      </w:tblGrid>
      <w:tr w:rsidR="00A257CE">
        <w:tblPrEx>
          <w:tblCellMar>
            <w:top w:w="0" w:type="dxa"/>
            <w:bottom w:w="0" w:type="dxa"/>
          </w:tblCellMar>
        </w:tblPrEx>
        <w:trPr>
          <w:trHeight w:val="593"/>
        </w:trPr>
        <w:tc>
          <w:tcPr>
            <w:tcW w:w="3401" w:type="dxa"/>
            <w:tcBorders>
              <w:top w:val="single" w:sz="4" w:space="0" w:color="000000"/>
              <w:left w:val="single" w:sz="4" w:space="0" w:color="000000"/>
              <w:bottom w:val="single" w:sz="4" w:space="0" w:color="000000"/>
              <w:right w:val="single" w:sz="4" w:space="0" w:color="000000"/>
            </w:tcBorders>
            <w:shd w:val="clear" w:color="auto" w:fill="auto"/>
            <w:tcMar>
              <w:top w:w="50" w:type="dxa"/>
              <w:left w:w="108" w:type="dxa"/>
              <w:bottom w:w="0" w:type="dxa"/>
              <w:right w:w="47" w:type="dxa"/>
            </w:tcMar>
          </w:tcPr>
          <w:p w:rsidR="00A257CE" w:rsidRDefault="0041653A">
            <w:pPr>
              <w:spacing w:after="0" w:line="256" w:lineRule="auto"/>
              <w:ind w:left="0" w:right="0" w:firstLine="0"/>
              <w:jc w:val="left"/>
            </w:pPr>
            <w:r>
              <w:rPr>
                <w:b/>
              </w:rPr>
              <w:lastRenderedPageBreak/>
              <w:t>Instalación de contador de</w:t>
            </w:r>
            <w:r>
              <w:rPr>
                <w:b/>
              </w:rPr>
              <w:t xml:space="preserve"> calibre: </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50" w:type="dxa"/>
              <w:left w:w="108" w:type="dxa"/>
              <w:bottom w:w="0" w:type="dxa"/>
              <w:right w:w="47" w:type="dxa"/>
            </w:tcMar>
          </w:tcPr>
          <w:p w:rsidR="00A257CE" w:rsidRDefault="0041653A">
            <w:pPr>
              <w:spacing w:after="0" w:line="256" w:lineRule="auto"/>
              <w:ind w:left="0" w:right="0" w:firstLine="0"/>
              <w:jc w:val="center"/>
            </w:pPr>
            <w:r>
              <w:rPr>
                <w:b/>
              </w:rPr>
              <w:t xml:space="preserve">Valoración económica </w:t>
            </w:r>
          </w:p>
        </w:tc>
      </w:tr>
      <w:tr w:rsidR="00A257CE">
        <w:tblPrEx>
          <w:tblCellMar>
            <w:top w:w="0" w:type="dxa"/>
            <w:bottom w:w="0" w:type="dxa"/>
          </w:tblCellMar>
        </w:tblPrEx>
        <w:trPr>
          <w:trHeight w:val="300"/>
        </w:trPr>
        <w:tc>
          <w:tcPr>
            <w:tcW w:w="3401" w:type="dxa"/>
            <w:tcBorders>
              <w:top w:val="single" w:sz="4" w:space="0" w:color="000000"/>
              <w:left w:val="single" w:sz="4" w:space="0" w:color="000000"/>
              <w:bottom w:val="single" w:sz="4" w:space="0" w:color="000000"/>
              <w:right w:val="single" w:sz="4" w:space="0" w:color="000000"/>
            </w:tcBorders>
            <w:shd w:val="clear" w:color="auto" w:fill="auto"/>
            <w:tcMar>
              <w:top w:w="50" w:type="dxa"/>
              <w:left w:w="108" w:type="dxa"/>
              <w:bottom w:w="0" w:type="dxa"/>
              <w:right w:w="47" w:type="dxa"/>
            </w:tcMar>
          </w:tcPr>
          <w:p w:rsidR="00A257CE" w:rsidRDefault="0041653A">
            <w:pPr>
              <w:spacing w:after="0" w:line="256" w:lineRule="auto"/>
              <w:ind w:left="0" w:right="0" w:firstLine="0"/>
              <w:jc w:val="left"/>
            </w:pPr>
            <w:r>
              <w:t xml:space="preserve">DN 13-15mm </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50" w:type="dxa"/>
              <w:left w:w="108" w:type="dxa"/>
              <w:bottom w:w="0" w:type="dxa"/>
              <w:right w:w="47" w:type="dxa"/>
            </w:tcMar>
          </w:tcPr>
          <w:p w:rsidR="00A257CE" w:rsidRDefault="0041653A">
            <w:pPr>
              <w:spacing w:after="0" w:line="256" w:lineRule="auto"/>
              <w:ind w:left="0" w:right="61" w:firstLine="0"/>
              <w:jc w:val="right"/>
            </w:pPr>
            <w:r>
              <w:t xml:space="preserve">72,84 euros </w:t>
            </w:r>
          </w:p>
        </w:tc>
      </w:tr>
      <w:tr w:rsidR="00A257CE">
        <w:tblPrEx>
          <w:tblCellMar>
            <w:top w:w="0" w:type="dxa"/>
            <w:bottom w:w="0" w:type="dxa"/>
          </w:tblCellMar>
        </w:tblPrEx>
        <w:trPr>
          <w:trHeight w:val="302"/>
        </w:trPr>
        <w:tc>
          <w:tcPr>
            <w:tcW w:w="3401" w:type="dxa"/>
            <w:tcBorders>
              <w:top w:val="single" w:sz="4" w:space="0" w:color="000000"/>
              <w:left w:val="single" w:sz="4" w:space="0" w:color="000000"/>
              <w:bottom w:val="single" w:sz="4" w:space="0" w:color="000000"/>
              <w:right w:val="single" w:sz="4" w:space="0" w:color="000000"/>
            </w:tcBorders>
            <w:shd w:val="clear" w:color="auto" w:fill="auto"/>
            <w:tcMar>
              <w:top w:w="50" w:type="dxa"/>
              <w:left w:w="108" w:type="dxa"/>
              <w:bottom w:w="0" w:type="dxa"/>
              <w:right w:w="47" w:type="dxa"/>
            </w:tcMar>
          </w:tcPr>
          <w:p w:rsidR="00A257CE" w:rsidRDefault="0041653A">
            <w:pPr>
              <w:spacing w:after="0" w:line="256" w:lineRule="auto"/>
              <w:ind w:left="0" w:right="0" w:firstLine="0"/>
              <w:jc w:val="left"/>
            </w:pPr>
            <w:r>
              <w:t xml:space="preserve">DN 20-25mm </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50" w:type="dxa"/>
              <w:left w:w="108" w:type="dxa"/>
              <w:bottom w:w="0" w:type="dxa"/>
              <w:right w:w="47" w:type="dxa"/>
            </w:tcMar>
          </w:tcPr>
          <w:p w:rsidR="00A257CE" w:rsidRDefault="0041653A">
            <w:pPr>
              <w:spacing w:after="0" w:line="256" w:lineRule="auto"/>
              <w:ind w:left="0" w:right="61" w:firstLine="0"/>
              <w:jc w:val="right"/>
            </w:pPr>
            <w:r>
              <w:t xml:space="preserve">102,25 euros </w:t>
            </w:r>
          </w:p>
        </w:tc>
      </w:tr>
    </w:tbl>
    <w:p w:rsidR="00A257CE" w:rsidRDefault="0041653A">
      <w:pPr>
        <w:spacing w:after="16" w:line="256" w:lineRule="auto"/>
        <w:ind w:left="398" w:right="0" w:firstLine="0"/>
        <w:jc w:val="left"/>
      </w:pPr>
      <w:r>
        <w:t xml:space="preserve"> </w:t>
      </w:r>
    </w:p>
    <w:p w:rsidR="00A257CE" w:rsidRDefault="0041653A">
      <w:pPr>
        <w:spacing w:after="0" w:line="256" w:lineRule="auto"/>
        <w:ind w:left="398" w:right="0" w:firstLine="0"/>
        <w:jc w:val="left"/>
      </w:pPr>
      <w:r>
        <w:t xml:space="preserve"> </w:t>
      </w:r>
    </w:p>
    <w:p w:rsidR="00A257CE" w:rsidRDefault="0041653A">
      <w:pPr>
        <w:numPr>
          <w:ilvl w:val="3"/>
          <w:numId w:val="12"/>
        </w:numPr>
        <w:ind w:right="1126" w:hanging="850"/>
      </w:pPr>
      <w:r>
        <w:t xml:space="preserve">Instalación en la caja de armario, cuando se trate de una vivienda individual, local comercial o suministro para obras.  </w:t>
      </w:r>
    </w:p>
    <w:p w:rsidR="00A257CE" w:rsidRDefault="0041653A">
      <w:pPr>
        <w:spacing w:after="0" w:line="256" w:lineRule="auto"/>
        <w:ind w:left="2269" w:right="0" w:firstLine="0"/>
        <w:jc w:val="left"/>
      </w:pPr>
      <w:r>
        <w:t xml:space="preserve"> </w:t>
      </w:r>
    </w:p>
    <w:tbl>
      <w:tblPr>
        <w:tblW w:w="5749" w:type="dxa"/>
        <w:tblInd w:w="2298" w:type="dxa"/>
        <w:tblCellMar>
          <w:left w:w="10" w:type="dxa"/>
          <w:right w:w="10" w:type="dxa"/>
        </w:tblCellMar>
        <w:tblLook w:val="0000" w:firstRow="0" w:lastRow="0" w:firstColumn="0" w:lastColumn="0" w:noHBand="0" w:noVBand="0"/>
      </w:tblPr>
      <w:tblGrid>
        <w:gridCol w:w="1737"/>
        <w:gridCol w:w="1664"/>
        <w:gridCol w:w="2348"/>
      </w:tblGrid>
      <w:tr w:rsidR="00A257CE">
        <w:tblPrEx>
          <w:tblCellMar>
            <w:top w:w="0" w:type="dxa"/>
            <w:bottom w:w="0" w:type="dxa"/>
          </w:tblCellMar>
        </w:tblPrEx>
        <w:trPr>
          <w:trHeight w:val="593"/>
        </w:trPr>
        <w:tc>
          <w:tcPr>
            <w:tcW w:w="3401"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0" w:type="dxa"/>
              <w:bottom w:w="0" w:type="dxa"/>
              <w:right w:w="47" w:type="dxa"/>
            </w:tcMar>
          </w:tcPr>
          <w:p w:rsidR="00A257CE" w:rsidRDefault="0041653A">
            <w:pPr>
              <w:spacing w:after="0" w:line="256" w:lineRule="auto"/>
              <w:ind w:left="108" w:right="0" w:firstLine="0"/>
              <w:jc w:val="left"/>
            </w:pPr>
            <w:r>
              <w:rPr>
                <w:b/>
              </w:rPr>
              <w:t xml:space="preserve">Instalación de contador de calibre: </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50" w:type="dxa"/>
              <w:left w:w="0" w:type="dxa"/>
              <w:bottom w:w="0" w:type="dxa"/>
              <w:right w:w="47" w:type="dxa"/>
            </w:tcMar>
          </w:tcPr>
          <w:p w:rsidR="00A257CE" w:rsidRDefault="0041653A">
            <w:pPr>
              <w:spacing w:after="0" w:line="256" w:lineRule="auto"/>
              <w:ind w:left="41" w:right="0" w:firstLine="0"/>
              <w:jc w:val="center"/>
            </w:pPr>
            <w:r>
              <w:rPr>
                <w:b/>
              </w:rPr>
              <w:t xml:space="preserve">Valoración económica </w:t>
            </w:r>
          </w:p>
        </w:tc>
      </w:tr>
      <w:tr w:rsidR="00A257CE">
        <w:tblPrEx>
          <w:tblCellMar>
            <w:top w:w="0" w:type="dxa"/>
            <w:bottom w:w="0" w:type="dxa"/>
          </w:tblCellMar>
        </w:tblPrEx>
        <w:trPr>
          <w:trHeight w:val="300"/>
        </w:trPr>
        <w:tc>
          <w:tcPr>
            <w:tcW w:w="1737" w:type="dxa"/>
            <w:tcBorders>
              <w:top w:val="single" w:sz="4" w:space="0" w:color="000000"/>
              <w:left w:val="single" w:sz="4" w:space="0" w:color="000000"/>
              <w:bottom w:val="single" w:sz="4" w:space="0" w:color="000000"/>
            </w:tcBorders>
            <w:shd w:val="clear" w:color="auto" w:fill="auto"/>
            <w:tcMar>
              <w:top w:w="50" w:type="dxa"/>
              <w:left w:w="0" w:type="dxa"/>
              <w:bottom w:w="0" w:type="dxa"/>
              <w:right w:w="47" w:type="dxa"/>
            </w:tcMar>
          </w:tcPr>
          <w:p w:rsidR="00A257CE" w:rsidRDefault="0041653A">
            <w:pPr>
              <w:spacing w:after="0" w:line="256" w:lineRule="auto"/>
              <w:ind w:left="108" w:right="0" w:firstLine="0"/>
              <w:jc w:val="left"/>
            </w:pPr>
            <w:r>
              <w:t xml:space="preserve">DN 13-15mm </w:t>
            </w:r>
          </w:p>
        </w:tc>
        <w:tc>
          <w:tcPr>
            <w:tcW w:w="1664" w:type="dxa"/>
            <w:tcBorders>
              <w:top w:val="single" w:sz="4" w:space="0" w:color="000000"/>
              <w:bottom w:val="single" w:sz="4" w:space="0" w:color="000000"/>
              <w:right w:val="single" w:sz="4" w:space="0" w:color="000000"/>
            </w:tcBorders>
            <w:shd w:val="clear" w:color="auto" w:fill="auto"/>
            <w:tcMar>
              <w:top w:w="50" w:type="dxa"/>
              <w:left w:w="0" w:type="dxa"/>
              <w:bottom w:w="0" w:type="dxa"/>
              <w:right w:w="47" w:type="dxa"/>
            </w:tcMar>
          </w:tcPr>
          <w:p w:rsidR="00A257CE" w:rsidRDefault="00A257CE">
            <w:pPr>
              <w:spacing w:after="160" w:line="256" w:lineRule="auto"/>
              <w:ind w:left="0" w:right="0" w:firstLine="0"/>
              <w:jc w:val="left"/>
            </w:pP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50" w:type="dxa"/>
              <w:left w:w="0" w:type="dxa"/>
              <w:bottom w:w="0" w:type="dxa"/>
              <w:right w:w="47" w:type="dxa"/>
            </w:tcMar>
          </w:tcPr>
          <w:p w:rsidR="00A257CE" w:rsidRDefault="0041653A">
            <w:pPr>
              <w:spacing w:after="0" w:line="256" w:lineRule="auto"/>
              <w:ind w:left="0" w:right="61" w:firstLine="0"/>
              <w:jc w:val="right"/>
            </w:pPr>
            <w:r>
              <w:t xml:space="preserve">169,56 euros </w:t>
            </w:r>
          </w:p>
        </w:tc>
      </w:tr>
      <w:tr w:rsidR="00A257CE">
        <w:tblPrEx>
          <w:tblCellMar>
            <w:top w:w="0" w:type="dxa"/>
            <w:bottom w:w="0" w:type="dxa"/>
          </w:tblCellMar>
        </w:tblPrEx>
        <w:trPr>
          <w:trHeight w:val="302"/>
        </w:trPr>
        <w:tc>
          <w:tcPr>
            <w:tcW w:w="1737" w:type="dxa"/>
            <w:tcBorders>
              <w:top w:val="single" w:sz="4" w:space="0" w:color="000000"/>
              <w:left w:val="single" w:sz="4" w:space="0" w:color="000000"/>
              <w:bottom w:val="single" w:sz="4" w:space="0" w:color="000000"/>
            </w:tcBorders>
            <w:shd w:val="clear" w:color="auto" w:fill="auto"/>
            <w:tcMar>
              <w:top w:w="50" w:type="dxa"/>
              <w:left w:w="0" w:type="dxa"/>
              <w:bottom w:w="0" w:type="dxa"/>
              <w:right w:w="47" w:type="dxa"/>
            </w:tcMar>
          </w:tcPr>
          <w:p w:rsidR="00A257CE" w:rsidRDefault="0041653A">
            <w:pPr>
              <w:spacing w:after="0" w:line="256" w:lineRule="auto"/>
              <w:ind w:left="108" w:right="0" w:firstLine="0"/>
              <w:jc w:val="left"/>
            </w:pPr>
            <w:r>
              <w:t xml:space="preserve">DN 20-25mm </w:t>
            </w:r>
          </w:p>
        </w:tc>
        <w:tc>
          <w:tcPr>
            <w:tcW w:w="1664" w:type="dxa"/>
            <w:tcBorders>
              <w:top w:val="single" w:sz="4" w:space="0" w:color="000000"/>
              <w:bottom w:val="single" w:sz="4" w:space="0" w:color="000000"/>
              <w:right w:val="single" w:sz="4" w:space="0" w:color="000000"/>
            </w:tcBorders>
            <w:shd w:val="clear" w:color="auto" w:fill="auto"/>
            <w:tcMar>
              <w:top w:w="50" w:type="dxa"/>
              <w:left w:w="0" w:type="dxa"/>
              <w:bottom w:w="0" w:type="dxa"/>
              <w:right w:w="47" w:type="dxa"/>
            </w:tcMar>
          </w:tcPr>
          <w:p w:rsidR="00A257CE" w:rsidRDefault="00A257CE">
            <w:pPr>
              <w:spacing w:after="160" w:line="256" w:lineRule="auto"/>
              <w:ind w:left="0" w:right="0" w:firstLine="0"/>
              <w:jc w:val="left"/>
            </w:pP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50" w:type="dxa"/>
              <w:left w:w="0" w:type="dxa"/>
              <w:bottom w:w="0" w:type="dxa"/>
              <w:right w:w="47" w:type="dxa"/>
            </w:tcMar>
          </w:tcPr>
          <w:p w:rsidR="00A257CE" w:rsidRDefault="0041653A">
            <w:pPr>
              <w:spacing w:after="0" w:line="256" w:lineRule="auto"/>
              <w:ind w:left="0" w:right="61" w:firstLine="0"/>
              <w:jc w:val="right"/>
            </w:pPr>
            <w:r>
              <w:t xml:space="preserve">221,84 euros </w:t>
            </w:r>
          </w:p>
        </w:tc>
      </w:tr>
      <w:tr w:rsidR="00A257CE">
        <w:tblPrEx>
          <w:tblCellMar>
            <w:top w:w="0" w:type="dxa"/>
            <w:bottom w:w="0" w:type="dxa"/>
          </w:tblCellMar>
        </w:tblPrEx>
        <w:trPr>
          <w:trHeight w:val="300"/>
        </w:trPr>
        <w:tc>
          <w:tcPr>
            <w:tcW w:w="1737" w:type="dxa"/>
            <w:tcBorders>
              <w:top w:val="single" w:sz="4" w:space="0" w:color="000000"/>
              <w:left w:val="single" w:sz="4" w:space="0" w:color="000000"/>
              <w:bottom w:val="single" w:sz="4" w:space="0" w:color="000000"/>
            </w:tcBorders>
            <w:shd w:val="clear" w:color="auto" w:fill="auto"/>
            <w:tcMar>
              <w:top w:w="50" w:type="dxa"/>
              <w:left w:w="0" w:type="dxa"/>
              <w:bottom w:w="0" w:type="dxa"/>
              <w:right w:w="47" w:type="dxa"/>
            </w:tcMar>
          </w:tcPr>
          <w:p w:rsidR="00A257CE" w:rsidRDefault="0041653A">
            <w:pPr>
              <w:spacing w:after="0" w:line="256" w:lineRule="auto"/>
              <w:ind w:left="108" w:right="0" w:firstLine="0"/>
              <w:jc w:val="left"/>
            </w:pPr>
            <w:r>
              <w:t xml:space="preserve">DN 30-32mm </w:t>
            </w:r>
          </w:p>
        </w:tc>
        <w:tc>
          <w:tcPr>
            <w:tcW w:w="1664" w:type="dxa"/>
            <w:tcBorders>
              <w:top w:val="single" w:sz="4" w:space="0" w:color="000000"/>
              <w:bottom w:val="single" w:sz="4" w:space="0" w:color="000000"/>
              <w:right w:val="single" w:sz="4" w:space="0" w:color="000000"/>
            </w:tcBorders>
            <w:shd w:val="clear" w:color="auto" w:fill="auto"/>
            <w:tcMar>
              <w:top w:w="50" w:type="dxa"/>
              <w:left w:w="0" w:type="dxa"/>
              <w:bottom w:w="0" w:type="dxa"/>
              <w:right w:w="47" w:type="dxa"/>
            </w:tcMar>
          </w:tcPr>
          <w:p w:rsidR="00A257CE" w:rsidRDefault="00A257CE">
            <w:pPr>
              <w:spacing w:after="160" w:line="256" w:lineRule="auto"/>
              <w:ind w:left="0" w:right="0" w:firstLine="0"/>
              <w:jc w:val="left"/>
            </w:pP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50" w:type="dxa"/>
              <w:left w:w="0" w:type="dxa"/>
              <w:bottom w:w="0" w:type="dxa"/>
              <w:right w:w="47" w:type="dxa"/>
            </w:tcMar>
          </w:tcPr>
          <w:p w:rsidR="00A257CE" w:rsidRDefault="0041653A">
            <w:pPr>
              <w:spacing w:after="0" w:line="256" w:lineRule="auto"/>
              <w:ind w:left="0" w:right="61" w:firstLine="0"/>
              <w:jc w:val="right"/>
            </w:pPr>
            <w:r>
              <w:t xml:space="preserve">416,02 euros </w:t>
            </w:r>
          </w:p>
        </w:tc>
      </w:tr>
      <w:tr w:rsidR="00A257CE">
        <w:tblPrEx>
          <w:tblCellMar>
            <w:top w:w="0" w:type="dxa"/>
            <w:bottom w:w="0" w:type="dxa"/>
          </w:tblCellMar>
        </w:tblPrEx>
        <w:trPr>
          <w:trHeight w:val="302"/>
        </w:trPr>
        <w:tc>
          <w:tcPr>
            <w:tcW w:w="1737" w:type="dxa"/>
            <w:tcBorders>
              <w:top w:val="single" w:sz="4" w:space="0" w:color="000000"/>
              <w:left w:val="single" w:sz="4" w:space="0" w:color="000000"/>
              <w:bottom w:val="single" w:sz="4" w:space="0" w:color="000000"/>
            </w:tcBorders>
            <w:shd w:val="clear" w:color="auto" w:fill="auto"/>
            <w:tcMar>
              <w:top w:w="50" w:type="dxa"/>
              <w:left w:w="0" w:type="dxa"/>
              <w:bottom w:w="0" w:type="dxa"/>
              <w:right w:w="47" w:type="dxa"/>
            </w:tcMar>
          </w:tcPr>
          <w:p w:rsidR="00A257CE" w:rsidRDefault="0041653A">
            <w:pPr>
              <w:spacing w:after="0" w:line="256" w:lineRule="auto"/>
              <w:ind w:left="108" w:right="0" w:firstLine="0"/>
              <w:jc w:val="left"/>
            </w:pPr>
            <w:r>
              <w:t xml:space="preserve">DN 40 mm: </w:t>
            </w:r>
          </w:p>
        </w:tc>
        <w:tc>
          <w:tcPr>
            <w:tcW w:w="1664" w:type="dxa"/>
            <w:tcBorders>
              <w:top w:val="single" w:sz="4" w:space="0" w:color="000000"/>
              <w:bottom w:val="single" w:sz="4" w:space="0" w:color="000000"/>
              <w:right w:val="single" w:sz="4" w:space="0" w:color="000000"/>
            </w:tcBorders>
            <w:shd w:val="clear" w:color="auto" w:fill="auto"/>
            <w:tcMar>
              <w:top w:w="50" w:type="dxa"/>
              <w:left w:w="0" w:type="dxa"/>
              <w:bottom w:w="0" w:type="dxa"/>
              <w:right w:w="47" w:type="dxa"/>
            </w:tcMar>
          </w:tcPr>
          <w:p w:rsidR="00A257CE" w:rsidRDefault="00A257CE">
            <w:pPr>
              <w:spacing w:after="160" w:line="256" w:lineRule="auto"/>
              <w:ind w:left="0" w:right="0" w:firstLine="0"/>
              <w:jc w:val="left"/>
            </w:pP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50" w:type="dxa"/>
              <w:left w:w="0" w:type="dxa"/>
              <w:bottom w:w="0" w:type="dxa"/>
              <w:right w:w="47" w:type="dxa"/>
            </w:tcMar>
          </w:tcPr>
          <w:p w:rsidR="00A257CE" w:rsidRDefault="0041653A">
            <w:pPr>
              <w:spacing w:after="0" w:line="256" w:lineRule="auto"/>
              <w:ind w:left="0" w:right="61" w:firstLine="0"/>
              <w:jc w:val="right"/>
            </w:pPr>
            <w:r>
              <w:t xml:space="preserve">626,64 euros </w:t>
            </w:r>
          </w:p>
        </w:tc>
      </w:tr>
      <w:tr w:rsidR="00A257CE">
        <w:tblPrEx>
          <w:tblCellMar>
            <w:top w:w="0" w:type="dxa"/>
            <w:bottom w:w="0" w:type="dxa"/>
          </w:tblCellMar>
        </w:tblPrEx>
        <w:trPr>
          <w:trHeight w:val="300"/>
        </w:trPr>
        <w:tc>
          <w:tcPr>
            <w:tcW w:w="1737" w:type="dxa"/>
            <w:tcBorders>
              <w:top w:val="single" w:sz="4" w:space="0" w:color="000000"/>
              <w:left w:val="single" w:sz="4" w:space="0" w:color="000000"/>
              <w:bottom w:val="single" w:sz="4" w:space="0" w:color="000000"/>
            </w:tcBorders>
            <w:shd w:val="clear" w:color="auto" w:fill="auto"/>
            <w:tcMar>
              <w:top w:w="50" w:type="dxa"/>
              <w:left w:w="0" w:type="dxa"/>
              <w:bottom w:w="0" w:type="dxa"/>
              <w:right w:w="47" w:type="dxa"/>
            </w:tcMar>
          </w:tcPr>
          <w:p w:rsidR="00A257CE" w:rsidRDefault="0041653A">
            <w:pPr>
              <w:spacing w:after="0" w:line="256" w:lineRule="auto"/>
              <w:ind w:left="108" w:right="0" w:firstLine="0"/>
              <w:jc w:val="left"/>
            </w:pPr>
            <w:r>
              <w:t xml:space="preserve">DN 50 mm: </w:t>
            </w:r>
          </w:p>
        </w:tc>
        <w:tc>
          <w:tcPr>
            <w:tcW w:w="1664" w:type="dxa"/>
            <w:tcBorders>
              <w:top w:val="single" w:sz="4" w:space="0" w:color="000000"/>
              <w:bottom w:val="single" w:sz="4" w:space="0" w:color="000000"/>
              <w:right w:val="single" w:sz="4" w:space="0" w:color="000000"/>
            </w:tcBorders>
            <w:shd w:val="clear" w:color="auto" w:fill="auto"/>
            <w:tcMar>
              <w:top w:w="50" w:type="dxa"/>
              <w:left w:w="0" w:type="dxa"/>
              <w:bottom w:w="0" w:type="dxa"/>
              <w:right w:w="47" w:type="dxa"/>
            </w:tcMar>
          </w:tcPr>
          <w:p w:rsidR="00A257CE" w:rsidRDefault="00A257CE">
            <w:pPr>
              <w:spacing w:after="160" w:line="256" w:lineRule="auto"/>
              <w:ind w:left="0" w:right="0" w:firstLine="0"/>
              <w:jc w:val="left"/>
            </w:pP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50" w:type="dxa"/>
              <w:left w:w="0" w:type="dxa"/>
              <w:bottom w:w="0" w:type="dxa"/>
              <w:right w:w="47" w:type="dxa"/>
            </w:tcMar>
          </w:tcPr>
          <w:p w:rsidR="00A257CE" w:rsidRDefault="0041653A">
            <w:pPr>
              <w:spacing w:after="0" w:line="256" w:lineRule="auto"/>
              <w:ind w:left="0" w:right="60" w:firstLine="0"/>
              <w:jc w:val="right"/>
            </w:pPr>
            <w:r>
              <w:t xml:space="preserve">1.265,42 euros </w:t>
            </w:r>
          </w:p>
        </w:tc>
      </w:tr>
      <w:tr w:rsidR="00A257CE">
        <w:tblPrEx>
          <w:tblCellMar>
            <w:top w:w="0" w:type="dxa"/>
            <w:bottom w:w="0" w:type="dxa"/>
          </w:tblCellMar>
        </w:tblPrEx>
        <w:trPr>
          <w:trHeight w:val="300"/>
        </w:trPr>
        <w:tc>
          <w:tcPr>
            <w:tcW w:w="1737" w:type="dxa"/>
            <w:tcBorders>
              <w:top w:val="single" w:sz="4" w:space="0" w:color="000000"/>
              <w:left w:val="single" w:sz="4" w:space="0" w:color="000000"/>
              <w:bottom w:val="single" w:sz="4" w:space="0" w:color="000000"/>
            </w:tcBorders>
            <w:shd w:val="clear" w:color="auto" w:fill="auto"/>
            <w:tcMar>
              <w:top w:w="50" w:type="dxa"/>
              <w:left w:w="0" w:type="dxa"/>
              <w:bottom w:w="0" w:type="dxa"/>
              <w:right w:w="47" w:type="dxa"/>
            </w:tcMar>
          </w:tcPr>
          <w:p w:rsidR="00A257CE" w:rsidRDefault="0041653A">
            <w:pPr>
              <w:spacing w:after="0" w:line="256" w:lineRule="auto"/>
              <w:ind w:left="108" w:right="0" w:firstLine="0"/>
              <w:jc w:val="left"/>
            </w:pPr>
            <w:r>
              <w:t xml:space="preserve">DN 65 mm: </w:t>
            </w:r>
          </w:p>
        </w:tc>
        <w:tc>
          <w:tcPr>
            <w:tcW w:w="1664" w:type="dxa"/>
            <w:tcBorders>
              <w:top w:val="single" w:sz="4" w:space="0" w:color="000000"/>
              <w:bottom w:val="single" w:sz="4" w:space="0" w:color="000000"/>
              <w:right w:val="single" w:sz="4" w:space="0" w:color="000000"/>
            </w:tcBorders>
            <w:shd w:val="clear" w:color="auto" w:fill="auto"/>
            <w:tcMar>
              <w:top w:w="50" w:type="dxa"/>
              <w:left w:w="0" w:type="dxa"/>
              <w:bottom w:w="0" w:type="dxa"/>
              <w:right w:w="47" w:type="dxa"/>
            </w:tcMar>
          </w:tcPr>
          <w:p w:rsidR="00A257CE" w:rsidRDefault="00A257CE">
            <w:pPr>
              <w:spacing w:after="160" w:line="256" w:lineRule="auto"/>
              <w:ind w:left="0" w:right="0" w:firstLine="0"/>
              <w:jc w:val="left"/>
            </w:pP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50" w:type="dxa"/>
              <w:left w:w="0" w:type="dxa"/>
              <w:bottom w:w="0" w:type="dxa"/>
              <w:right w:w="47" w:type="dxa"/>
            </w:tcMar>
          </w:tcPr>
          <w:p w:rsidR="00A257CE" w:rsidRDefault="0041653A">
            <w:pPr>
              <w:spacing w:after="0" w:line="256" w:lineRule="auto"/>
              <w:ind w:left="0" w:right="60" w:firstLine="0"/>
              <w:jc w:val="right"/>
            </w:pPr>
            <w:r>
              <w:t xml:space="preserve">1.569,92 euros </w:t>
            </w:r>
          </w:p>
        </w:tc>
      </w:tr>
      <w:tr w:rsidR="00A257CE">
        <w:tblPrEx>
          <w:tblCellMar>
            <w:top w:w="0" w:type="dxa"/>
            <w:bottom w:w="0" w:type="dxa"/>
          </w:tblCellMar>
        </w:tblPrEx>
        <w:trPr>
          <w:trHeight w:val="303"/>
        </w:trPr>
        <w:tc>
          <w:tcPr>
            <w:tcW w:w="1737" w:type="dxa"/>
            <w:tcBorders>
              <w:top w:val="single" w:sz="4" w:space="0" w:color="000000"/>
              <w:left w:val="single" w:sz="4" w:space="0" w:color="000000"/>
              <w:bottom w:val="single" w:sz="4" w:space="0" w:color="000000"/>
            </w:tcBorders>
            <w:shd w:val="clear" w:color="auto" w:fill="auto"/>
            <w:tcMar>
              <w:top w:w="50" w:type="dxa"/>
              <w:left w:w="0" w:type="dxa"/>
              <w:bottom w:w="0" w:type="dxa"/>
              <w:right w:w="47" w:type="dxa"/>
            </w:tcMar>
          </w:tcPr>
          <w:p w:rsidR="00A257CE" w:rsidRDefault="0041653A">
            <w:pPr>
              <w:spacing w:after="0" w:line="256" w:lineRule="auto"/>
              <w:ind w:left="108" w:right="0" w:firstLine="0"/>
              <w:jc w:val="left"/>
            </w:pPr>
            <w:r>
              <w:t xml:space="preserve">DN 80 mm: </w:t>
            </w:r>
          </w:p>
        </w:tc>
        <w:tc>
          <w:tcPr>
            <w:tcW w:w="1664" w:type="dxa"/>
            <w:tcBorders>
              <w:top w:val="single" w:sz="4" w:space="0" w:color="000000"/>
              <w:bottom w:val="single" w:sz="4" w:space="0" w:color="000000"/>
              <w:right w:val="single" w:sz="4" w:space="0" w:color="000000"/>
            </w:tcBorders>
            <w:shd w:val="clear" w:color="auto" w:fill="auto"/>
            <w:tcMar>
              <w:top w:w="50" w:type="dxa"/>
              <w:left w:w="0" w:type="dxa"/>
              <w:bottom w:w="0" w:type="dxa"/>
              <w:right w:w="47" w:type="dxa"/>
            </w:tcMar>
          </w:tcPr>
          <w:p w:rsidR="00A257CE" w:rsidRDefault="00A257CE">
            <w:pPr>
              <w:spacing w:after="160" w:line="256" w:lineRule="auto"/>
              <w:ind w:left="0" w:right="0" w:firstLine="0"/>
              <w:jc w:val="left"/>
            </w:pP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50" w:type="dxa"/>
              <w:left w:w="0" w:type="dxa"/>
              <w:bottom w:w="0" w:type="dxa"/>
              <w:right w:w="47" w:type="dxa"/>
            </w:tcMar>
          </w:tcPr>
          <w:p w:rsidR="00A257CE" w:rsidRDefault="0041653A">
            <w:pPr>
              <w:spacing w:after="0" w:line="256" w:lineRule="auto"/>
              <w:ind w:left="0" w:right="60" w:firstLine="0"/>
              <w:jc w:val="right"/>
            </w:pPr>
            <w:r>
              <w:t xml:space="preserve">2.032,29 euros </w:t>
            </w:r>
          </w:p>
        </w:tc>
      </w:tr>
      <w:tr w:rsidR="00A257CE">
        <w:tblPrEx>
          <w:tblCellMar>
            <w:top w:w="0" w:type="dxa"/>
            <w:bottom w:w="0" w:type="dxa"/>
          </w:tblCellMar>
        </w:tblPrEx>
        <w:trPr>
          <w:trHeight w:val="590"/>
        </w:trPr>
        <w:tc>
          <w:tcPr>
            <w:tcW w:w="1737" w:type="dxa"/>
            <w:tcBorders>
              <w:top w:val="single" w:sz="4" w:space="0" w:color="000000"/>
              <w:left w:val="single" w:sz="4" w:space="0" w:color="000000"/>
              <w:bottom w:val="single" w:sz="4" w:space="0" w:color="000000"/>
            </w:tcBorders>
            <w:shd w:val="clear" w:color="auto" w:fill="auto"/>
            <w:tcMar>
              <w:top w:w="50" w:type="dxa"/>
              <w:left w:w="0" w:type="dxa"/>
              <w:bottom w:w="0" w:type="dxa"/>
              <w:right w:w="47" w:type="dxa"/>
            </w:tcMar>
          </w:tcPr>
          <w:p w:rsidR="00A257CE" w:rsidRDefault="0041653A">
            <w:pPr>
              <w:tabs>
                <w:tab w:val="center" w:pos="1271"/>
              </w:tabs>
              <w:spacing w:after="23" w:line="256" w:lineRule="auto"/>
              <w:ind w:left="0" w:right="0" w:firstLine="0"/>
              <w:jc w:val="left"/>
            </w:pPr>
            <w:r>
              <w:t xml:space="preserve">iguales </w:t>
            </w:r>
            <w:r>
              <w:tab/>
              <w:t xml:space="preserve">o </w:t>
            </w:r>
          </w:p>
          <w:p w:rsidR="00A257CE" w:rsidRDefault="0041653A">
            <w:pPr>
              <w:spacing w:after="0" w:line="256" w:lineRule="auto"/>
              <w:ind w:left="108" w:right="0" w:firstLine="0"/>
              <w:jc w:val="left"/>
            </w:pPr>
            <w:r>
              <w:t xml:space="preserve">DN100mm </w:t>
            </w:r>
          </w:p>
        </w:tc>
        <w:tc>
          <w:tcPr>
            <w:tcW w:w="1664" w:type="dxa"/>
            <w:tcBorders>
              <w:top w:val="single" w:sz="4" w:space="0" w:color="000000"/>
              <w:bottom w:val="single" w:sz="4" w:space="0" w:color="000000"/>
              <w:right w:val="single" w:sz="4" w:space="0" w:color="000000"/>
            </w:tcBorders>
            <w:shd w:val="clear" w:color="auto" w:fill="auto"/>
            <w:tcMar>
              <w:top w:w="50" w:type="dxa"/>
              <w:left w:w="0" w:type="dxa"/>
              <w:bottom w:w="0" w:type="dxa"/>
              <w:right w:w="47" w:type="dxa"/>
            </w:tcMar>
          </w:tcPr>
          <w:p w:rsidR="00A257CE" w:rsidRDefault="0041653A">
            <w:pPr>
              <w:tabs>
                <w:tab w:val="right" w:pos="1618"/>
              </w:tabs>
              <w:spacing w:after="0" w:line="256" w:lineRule="auto"/>
              <w:ind w:left="0" w:right="0" w:firstLine="0"/>
              <w:jc w:val="left"/>
            </w:pPr>
            <w:r>
              <w:t xml:space="preserve">superiores </w:t>
            </w:r>
            <w:r>
              <w:tab/>
              <w:t xml:space="preserve">a </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50" w:type="dxa"/>
              <w:left w:w="0" w:type="dxa"/>
              <w:bottom w:w="0" w:type="dxa"/>
              <w:right w:w="47" w:type="dxa"/>
            </w:tcMar>
          </w:tcPr>
          <w:p w:rsidR="00A257CE" w:rsidRDefault="0041653A">
            <w:pPr>
              <w:spacing w:after="0" w:line="256" w:lineRule="auto"/>
              <w:ind w:left="0" w:right="60" w:firstLine="0"/>
              <w:jc w:val="right"/>
            </w:pPr>
            <w:r>
              <w:t xml:space="preserve">2.525,80 euros </w:t>
            </w:r>
          </w:p>
        </w:tc>
      </w:tr>
    </w:tbl>
    <w:p w:rsidR="00A257CE" w:rsidRDefault="0041653A">
      <w:pPr>
        <w:spacing w:after="19" w:line="256" w:lineRule="auto"/>
        <w:ind w:left="1419" w:right="0" w:firstLine="0"/>
        <w:jc w:val="left"/>
      </w:pPr>
      <w:r>
        <w:t xml:space="preserve"> </w:t>
      </w:r>
    </w:p>
    <w:p w:rsidR="00A257CE" w:rsidRDefault="0041653A">
      <w:pPr>
        <w:ind w:left="2267" w:right="1697" w:firstLine="0"/>
      </w:pPr>
      <w:r>
        <w:t xml:space="preserve">En todos los casos en que para la realización de acometidas o colocación de contadores sea necesario realizar obra civil, ésta será siempre a cargo del abonado, previa licencia municipal emitida desde la oficina técnica del </w:t>
      </w:r>
      <w:r>
        <w:t xml:space="preserve">Ayuntamiento.  </w:t>
      </w:r>
    </w:p>
    <w:p w:rsidR="00A257CE" w:rsidRDefault="0041653A">
      <w:pPr>
        <w:spacing w:after="16" w:line="256" w:lineRule="auto"/>
        <w:ind w:left="2267" w:right="0" w:firstLine="0"/>
        <w:jc w:val="left"/>
      </w:pPr>
      <w:r>
        <w:t xml:space="preserve"> </w:t>
      </w:r>
    </w:p>
    <w:p w:rsidR="00A257CE" w:rsidRDefault="0041653A">
      <w:pPr>
        <w:ind w:left="853" w:right="555" w:firstLine="0"/>
      </w:pPr>
      <w:r>
        <w:t xml:space="preserve">1.1.4. Consumos de agua al bimestre. </w:t>
      </w:r>
    </w:p>
    <w:p w:rsidR="00A257CE" w:rsidRDefault="0041653A">
      <w:pPr>
        <w:numPr>
          <w:ilvl w:val="3"/>
          <w:numId w:val="13"/>
        </w:numPr>
        <w:ind w:right="1272" w:hanging="850"/>
      </w:pPr>
      <w:r>
        <w:t>Para uso doméstico. El suministro para usos domésticos será aquellos en los que el agua potable se utiliza exclusivamente para atender las necesidades del consumo humano según RD 3/2033. Se aplicará e</w:t>
      </w:r>
      <w:r>
        <w:t xml:space="preserve">sta modalidad, exclusivamente a inmuebles destinados a viviendas, siempre que en ellos no se realice actividad industrial, comercial o profesional de ningún tipo. </w:t>
      </w:r>
    </w:p>
    <w:p w:rsidR="00A257CE" w:rsidRDefault="0041653A">
      <w:pPr>
        <w:spacing w:after="0" w:line="256" w:lineRule="auto"/>
        <w:ind w:left="2128" w:right="0" w:firstLine="0"/>
        <w:jc w:val="left"/>
      </w:pPr>
      <w:r>
        <w:t xml:space="preserve"> </w:t>
      </w:r>
    </w:p>
    <w:tbl>
      <w:tblPr>
        <w:tblW w:w="4820" w:type="dxa"/>
        <w:tblInd w:w="1136" w:type="dxa"/>
        <w:tblCellMar>
          <w:left w:w="10" w:type="dxa"/>
          <w:right w:w="10" w:type="dxa"/>
        </w:tblCellMar>
        <w:tblLook w:val="0000" w:firstRow="0" w:lastRow="0" w:firstColumn="0" w:lastColumn="0" w:noHBand="0" w:noVBand="0"/>
      </w:tblPr>
      <w:tblGrid>
        <w:gridCol w:w="3044"/>
        <w:gridCol w:w="1776"/>
      </w:tblGrid>
      <w:tr w:rsidR="00A257CE">
        <w:tblPrEx>
          <w:tblCellMar>
            <w:top w:w="0" w:type="dxa"/>
            <w:bottom w:w="0" w:type="dxa"/>
          </w:tblCellMar>
        </w:tblPrEx>
        <w:trPr>
          <w:trHeight w:val="384"/>
        </w:trPr>
        <w:tc>
          <w:tcPr>
            <w:tcW w:w="3044"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115" w:type="dxa"/>
            </w:tcMar>
          </w:tcPr>
          <w:p w:rsidR="00A257CE" w:rsidRDefault="0041653A">
            <w:pPr>
              <w:spacing w:after="0" w:line="256" w:lineRule="auto"/>
              <w:ind w:left="2" w:right="0" w:firstLine="0"/>
              <w:jc w:val="left"/>
            </w:pPr>
            <w:r>
              <w:rPr>
                <w:b/>
              </w:rPr>
              <w:t xml:space="preserve">CONSUMO DOMÉSTICO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115" w:type="dxa"/>
            </w:tcMar>
          </w:tcPr>
          <w:p w:rsidR="00A257CE" w:rsidRDefault="0041653A">
            <w:pPr>
              <w:spacing w:after="0" w:line="256" w:lineRule="auto"/>
              <w:ind w:left="0" w:right="0" w:firstLine="0"/>
              <w:jc w:val="left"/>
            </w:pPr>
            <w:r>
              <w:rPr>
                <w:b/>
              </w:rPr>
              <w:t xml:space="preserve">IMPORTE </w:t>
            </w:r>
          </w:p>
        </w:tc>
      </w:tr>
      <w:tr w:rsidR="00A257CE">
        <w:tblPrEx>
          <w:tblCellMar>
            <w:top w:w="0" w:type="dxa"/>
            <w:bottom w:w="0" w:type="dxa"/>
          </w:tblCellMar>
        </w:tblPrEx>
        <w:trPr>
          <w:trHeight w:val="382"/>
        </w:trPr>
        <w:tc>
          <w:tcPr>
            <w:tcW w:w="3044"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115" w:type="dxa"/>
            </w:tcMar>
          </w:tcPr>
          <w:p w:rsidR="00A257CE" w:rsidRDefault="0041653A">
            <w:pPr>
              <w:spacing w:after="0" w:line="256" w:lineRule="auto"/>
              <w:ind w:left="2" w:right="0" w:firstLine="0"/>
              <w:jc w:val="left"/>
            </w:pPr>
            <w:r>
              <w:lastRenderedPageBreak/>
              <w:t xml:space="preserve">CUOTA FIJA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115" w:type="dxa"/>
            </w:tcMar>
          </w:tcPr>
          <w:p w:rsidR="00A257CE" w:rsidRDefault="0041653A">
            <w:pPr>
              <w:spacing w:after="0" w:line="256" w:lineRule="auto"/>
              <w:ind w:left="0" w:right="0" w:firstLine="0"/>
              <w:jc w:val="left"/>
            </w:pPr>
            <w:r>
              <w:t xml:space="preserve">13,85 € </w:t>
            </w:r>
          </w:p>
        </w:tc>
      </w:tr>
      <w:tr w:rsidR="00A257CE">
        <w:tblPrEx>
          <w:tblCellMar>
            <w:top w:w="0" w:type="dxa"/>
            <w:bottom w:w="0" w:type="dxa"/>
          </w:tblCellMar>
        </w:tblPrEx>
        <w:trPr>
          <w:trHeight w:val="384"/>
        </w:trPr>
        <w:tc>
          <w:tcPr>
            <w:tcW w:w="3044"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115" w:type="dxa"/>
            </w:tcMar>
          </w:tcPr>
          <w:p w:rsidR="00A257CE" w:rsidRDefault="0041653A">
            <w:pPr>
              <w:spacing w:after="0" w:line="256" w:lineRule="auto"/>
              <w:ind w:left="2" w:right="0" w:firstLine="0"/>
              <w:jc w:val="left"/>
            </w:pPr>
            <w:r>
              <w:t xml:space="preserve">De 1 a 10 m3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115" w:type="dxa"/>
            </w:tcMar>
          </w:tcPr>
          <w:p w:rsidR="00A257CE" w:rsidRDefault="0041653A">
            <w:pPr>
              <w:spacing w:after="0" w:line="256" w:lineRule="auto"/>
              <w:ind w:left="0" w:right="0" w:firstLine="0"/>
              <w:jc w:val="left"/>
            </w:pPr>
            <w:r>
              <w:t xml:space="preserve">0,58 €/m3 </w:t>
            </w:r>
          </w:p>
        </w:tc>
      </w:tr>
      <w:tr w:rsidR="00A257CE">
        <w:tblPrEx>
          <w:tblCellMar>
            <w:top w:w="0" w:type="dxa"/>
            <w:bottom w:w="0" w:type="dxa"/>
          </w:tblCellMar>
        </w:tblPrEx>
        <w:trPr>
          <w:trHeight w:val="382"/>
        </w:trPr>
        <w:tc>
          <w:tcPr>
            <w:tcW w:w="3044"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115" w:type="dxa"/>
            </w:tcMar>
          </w:tcPr>
          <w:p w:rsidR="00A257CE" w:rsidRDefault="0041653A">
            <w:pPr>
              <w:spacing w:after="0" w:line="256" w:lineRule="auto"/>
              <w:ind w:left="2" w:right="0" w:firstLine="0"/>
              <w:jc w:val="left"/>
            </w:pPr>
            <w:r>
              <w:rPr>
                <w:i/>
              </w:rPr>
              <w:t xml:space="preserve">De </w:t>
            </w:r>
            <w:r>
              <w:t>11 a 30 m3</w:t>
            </w:r>
            <w:r>
              <w:t xml:space="preserve">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115" w:type="dxa"/>
            </w:tcMar>
          </w:tcPr>
          <w:p w:rsidR="00A257CE" w:rsidRDefault="0041653A">
            <w:pPr>
              <w:spacing w:after="0" w:line="256" w:lineRule="auto"/>
              <w:ind w:left="0" w:right="0" w:firstLine="0"/>
              <w:jc w:val="left"/>
            </w:pPr>
            <w:r>
              <w:t xml:space="preserve">1,17 €/m3 </w:t>
            </w:r>
          </w:p>
        </w:tc>
      </w:tr>
      <w:tr w:rsidR="00A257CE">
        <w:tblPrEx>
          <w:tblCellMar>
            <w:top w:w="0" w:type="dxa"/>
            <w:bottom w:w="0" w:type="dxa"/>
          </w:tblCellMar>
        </w:tblPrEx>
        <w:trPr>
          <w:trHeight w:val="384"/>
        </w:trPr>
        <w:tc>
          <w:tcPr>
            <w:tcW w:w="3044"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115" w:type="dxa"/>
            </w:tcMar>
          </w:tcPr>
          <w:p w:rsidR="00A257CE" w:rsidRDefault="0041653A">
            <w:pPr>
              <w:spacing w:after="0" w:line="256" w:lineRule="auto"/>
              <w:ind w:left="2" w:right="0" w:firstLine="0"/>
              <w:jc w:val="left"/>
            </w:pPr>
            <w:r>
              <w:rPr>
                <w:i/>
              </w:rPr>
              <w:t xml:space="preserve">De 31 a 60 </w:t>
            </w:r>
            <w:r>
              <w:t xml:space="preserve">m3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115" w:type="dxa"/>
            </w:tcMar>
          </w:tcPr>
          <w:p w:rsidR="00A257CE" w:rsidRDefault="0041653A">
            <w:pPr>
              <w:spacing w:after="0" w:line="256" w:lineRule="auto"/>
              <w:ind w:left="0" w:right="0" w:firstLine="0"/>
              <w:jc w:val="left"/>
            </w:pPr>
            <w:r>
              <w:t xml:space="preserve">2,14 €/m3 </w:t>
            </w:r>
          </w:p>
        </w:tc>
      </w:tr>
      <w:tr w:rsidR="00A257CE">
        <w:tblPrEx>
          <w:tblCellMar>
            <w:top w:w="0" w:type="dxa"/>
            <w:bottom w:w="0" w:type="dxa"/>
          </w:tblCellMar>
        </w:tblPrEx>
        <w:trPr>
          <w:trHeight w:val="385"/>
        </w:trPr>
        <w:tc>
          <w:tcPr>
            <w:tcW w:w="3044"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115" w:type="dxa"/>
            </w:tcMar>
          </w:tcPr>
          <w:p w:rsidR="00A257CE" w:rsidRDefault="0041653A">
            <w:pPr>
              <w:spacing w:after="0" w:line="256" w:lineRule="auto"/>
              <w:ind w:left="2" w:right="0" w:firstLine="0"/>
              <w:jc w:val="left"/>
            </w:pPr>
            <w:r>
              <w:rPr>
                <w:i/>
              </w:rPr>
              <w:t xml:space="preserve">Más de 60 </w:t>
            </w:r>
            <w:r>
              <w:t xml:space="preserve">m3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115" w:type="dxa"/>
            </w:tcMar>
          </w:tcPr>
          <w:p w:rsidR="00A257CE" w:rsidRDefault="0041653A">
            <w:pPr>
              <w:spacing w:after="0" w:line="256" w:lineRule="auto"/>
              <w:ind w:left="0" w:right="0" w:firstLine="0"/>
              <w:jc w:val="left"/>
            </w:pPr>
            <w:r>
              <w:t xml:space="preserve">3,40 €/m3 </w:t>
            </w:r>
          </w:p>
        </w:tc>
      </w:tr>
    </w:tbl>
    <w:p w:rsidR="00A257CE" w:rsidRDefault="0041653A">
      <w:pPr>
        <w:spacing w:after="16" w:line="256" w:lineRule="auto"/>
        <w:ind w:left="2128" w:right="0" w:firstLine="0"/>
        <w:jc w:val="left"/>
      </w:pPr>
      <w:r>
        <w:t xml:space="preserve"> </w:t>
      </w:r>
    </w:p>
    <w:p w:rsidR="00A257CE" w:rsidRDefault="0041653A">
      <w:pPr>
        <w:spacing w:after="16" w:line="256" w:lineRule="auto"/>
        <w:ind w:left="2128" w:right="0" w:firstLine="0"/>
        <w:jc w:val="left"/>
      </w:pPr>
      <w:r>
        <w:t xml:space="preserve"> </w:t>
      </w:r>
    </w:p>
    <w:p w:rsidR="00A257CE" w:rsidRDefault="0041653A">
      <w:pPr>
        <w:spacing w:after="16" w:line="256" w:lineRule="auto"/>
        <w:ind w:left="2128" w:right="0" w:firstLine="0"/>
        <w:jc w:val="left"/>
      </w:pPr>
      <w:r>
        <w:t xml:space="preserve"> </w:t>
      </w:r>
    </w:p>
    <w:p w:rsidR="00A257CE" w:rsidRDefault="0041653A">
      <w:pPr>
        <w:spacing w:after="16" w:line="256" w:lineRule="auto"/>
        <w:ind w:left="2128" w:right="0" w:firstLine="0"/>
        <w:jc w:val="left"/>
      </w:pPr>
      <w:r>
        <w:t xml:space="preserve"> </w:t>
      </w:r>
    </w:p>
    <w:p w:rsidR="00A257CE" w:rsidRDefault="0041653A">
      <w:pPr>
        <w:spacing w:after="0" w:line="256" w:lineRule="auto"/>
        <w:ind w:left="2128" w:right="0" w:firstLine="0"/>
        <w:jc w:val="left"/>
      </w:pPr>
      <w:r>
        <w:t xml:space="preserve"> </w:t>
      </w:r>
    </w:p>
    <w:p w:rsidR="00A257CE" w:rsidRDefault="0041653A">
      <w:pPr>
        <w:numPr>
          <w:ilvl w:val="3"/>
          <w:numId w:val="13"/>
        </w:numPr>
        <w:ind w:right="1272" w:hanging="850"/>
      </w:pPr>
      <w:r>
        <w:t xml:space="preserve">Para uso industrial o comercial o de obras. El suministro para usos industriales o comerciales serán todos aquellos suministros de agua potable destinados a locales donde se </w:t>
      </w:r>
      <w:r>
        <w:t>desarrollen actividades comerciales, profesionales o industriales, y además, aquellos suministros que aun precisando el agua como elemento de atención directa a las necesidades primarias de la vida sean objeto de una actividad económica lucrativa, y en gen</w:t>
      </w:r>
      <w:r>
        <w:t xml:space="preserve">eral todos aquellos en los que el agua no se utilice para los fines expuestos en el apartado anterior. </w:t>
      </w:r>
    </w:p>
    <w:p w:rsidR="00A257CE" w:rsidRDefault="0041653A">
      <w:pPr>
        <w:ind w:left="3119" w:right="848" w:firstLine="0"/>
      </w:pPr>
      <w:r>
        <w:t>Podrá suministrarse agua de obra en la ejecución de obras de edificación o urbanización, siendo necesario para su contratación la presentación de la cor</w:t>
      </w:r>
      <w:r>
        <w:t xml:space="preserve">respondiente licencia o autorización municipal. </w:t>
      </w:r>
    </w:p>
    <w:p w:rsidR="00A257CE" w:rsidRDefault="0041653A">
      <w:pPr>
        <w:spacing w:after="0" w:line="256" w:lineRule="auto"/>
        <w:ind w:left="644" w:right="0" w:firstLine="0"/>
        <w:jc w:val="left"/>
      </w:pPr>
      <w:r>
        <w:t xml:space="preserve"> </w:t>
      </w:r>
    </w:p>
    <w:tbl>
      <w:tblPr>
        <w:tblW w:w="4820" w:type="dxa"/>
        <w:tblInd w:w="1986" w:type="dxa"/>
        <w:tblCellMar>
          <w:left w:w="10" w:type="dxa"/>
          <w:right w:w="10" w:type="dxa"/>
        </w:tblCellMar>
        <w:tblLook w:val="0000" w:firstRow="0" w:lastRow="0" w:firstColumn="0" w:lastColumn="0" w:noHBand="0" w:noVBand="0"/>
      </w:tblPr>
      <w:tblGrid>
        <w:gridCol w:w="3044"/>
        <w:gridCol w:w="1776"/>
      </w:tblGrid>
      <w:tr w:rsidR="00A257CE">
        <w:tblPrEx>
          <w:tblCellMar>
            <w:top w:w="0" w:type="dxa"/>
            <w:bottom w:w="0" w:type="dxa"/>
          </w:tblCellMar>
        </w:tblPrEx>
        <w:trPr>
          <w:trHeight w:val="382"/>
        </w:trPr>
        <w:tc>
          <w:tcPr>
            <w:tcW w:w="3044"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115" w:type="dxa"/>
            </w:tcMar>
          </w:tcPr>
          <w:p w:rsidR="00A257CE" w:rsidRDefault="0041653A">
            <w:pPr>
              <w:spacing w:after="0" w:line="256" w:lineRule="auto"/>
              <w:ind w:left="2" w:right="0" w:firstLine="0"/>
              <w:jc w:val="left"/>
            </w:pPr>
            <w:r>
              <w:rPr>
                <w:b/>
              </w:rPr>
              <w:t xml:space="preserve">CONSUMO INDUSTRIAL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115" w:type="dxa"/>
            </w:tcMar>
          </w:tcPr>
          <w:p w:rsidR="00A257CE" w:rsidRDefault="0041653A">
            <w:pPr>
              <w:spacing w:after="0" w:line="256" w:lineRule="auto"/>
              <w:ind w:left="0" w:right="0" w:firstLine="0"/>
              <w:jc w:val="left"/>
            </w:pPr>
            <w:r>
              <w:rPr>
                <w:b/>
              </w:rPr>
              <w:t xml:space="preserve">IMPORTE </w:t>
            </w:r>
          </w:p>
        </w:tc>
      </w:tr>
      <w:tr w:rsidR="00A257CE">
        <w:tblPrEx>
          <w:tblCellMar>
            <w:top w:w="0" w:type="dxa"/>
            <w:bottom w:w="0" w:type="dxa"/>
          </w:tblCellMar>
        </w:tblPrEx>
        <w:trPr>
          <w:trHeight w:val="384"/>
        </w:trPr>
        <w:tc>
          <w:tcPr>
            <w:tcW w:w="3044"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115" w:type="dxa"/>
            </w:tcMar>
          </w:tcPr>
          <w:p w:rsidR="00A257CE" w:rsidRDefault="0041653A">
            <w:pPr>
              <w:spacing w:after="0" w:line="256" w:lineRule="auto"/>
              <w:ind w:left="2" w:right="0" w:firstLine="0"/>
              <w:jc w:val="left"/>
            </w:pPr>
            <w:r>
              <w:t xml:space="preserve">CUOTA FIJA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115" w:type="dxa"/>
            </w:tcMar>
          </w:tcPr>
          <w:p w:rsidR="00A257CE" w:rsidRDefault="0041653A">
            <w:pPr>
              <w:spacing w:after="0" w:line="256" w:lineRule="auto"/>
              <w:ind w:left="0" w:right="0" w:firstLine="0"/>
              <w:jc w:val="left"/>
            </w:pPr>
            <w:r>
              <w:t xml:space="preserve">20,66 € </w:t>
            </w:r>
          </w:p>
        </w:tc>
      </w:tr>
      <w:tr w:rsidR="00A257CE">
        <w:tblPrEx>
          <w:tblCellMar>
            <w:top w:w="0" w:type="dxa"/>
            <w:bottom w:w="0" w:type="dxa"/>
          </w:tblCellMar>
        </w:tblPrEx>
        <w:trPr>
          <w:trHeight w:val="384"/>
        </w:trPr>
        <w:tc>
          <w:tcPr>
            <w:tcW w:w="3044"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115" w:type="dxa"/>
            </w:tcMar>
          </w:tcPr>
          <w:p w:rsidR="00A257CE" w:rsidRDefault="0041653A">
            <w:pPr>
              <w:spacing w:after="0" w:line="256" w:lineRule="auto"/>
              <w:ind w:left="2" w:right="0" w:firstLine="0"/>
              <w:jc w:val="left"/>
            </w:pPr>
            <w:r>
              <w:t xml:space="preserve">De 1 a 10 m3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115" w:type="dxa"/>
            </w:tcMar>
          </w:tcPr>
          <w:p w:rsidR="00A257CE" w:rsidRDefault="0041653A">
            <w:pPr>
              <w:spacing w:after="0" w:line="256" w:lineRule="auto"/>
              <w:ind w:left="0" w:right="0" w:firstLine="0"/>
              <w:jc w:val="left"/>
            </w:pPr>
            <w:r>
              <w:t xml:space="preserve">0,87 €/m3 </w:t>
            </w:r>
          </w:p>
        </w:tc>
      </w:tr>
      <w:tr w:rsidR="00A257CE">
        <w:tblPrEx>
          <w:tblCellMar>
            <w:top w:w="0" w:type="dxa"/>
            <w:bottom w:w="0" w:type="dxa"/>
          </w:tblCellMar>
        </w:tblPrEx>
        <w:trPr>
          <w:trHeight w:val="382"/>
        </w:trPr>
        <w:tc>
          <w:tcPr>
            <w:tcW w:w="3044"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115" w:type="dxa"/>
            </w:tcMar>
          </w:tcPr>
          <w:p w:rsidR="00A257CE" w:rsidRDefault="0041653A">
            <w:pPr>
              <w:spacing w:after="0" w:line="256" w:lineRule="auto"/>
              <w:ind w:left="2" w:right="0" w:firstLine="0"/>
              <w:jc w:val="left"/>
            </w:pPr>
            <w:r>
              <w:rPr>
                <w:i/>
              </w:rPr>
              <w:t xml:space="preserve">De </w:t>
            </w:r>
            <w:r>
              <w:t xml:space="preserve">11 a 30 m3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115" w:type="dxa"/>
            </w:tcMar>
          </w:tcPr>
          <w:p w:rsidR="00A257CE" w:rsidRDefault="0041653A">
            <w:pPr>
              <w:spacing w:after="0" w:line="256" w:lineRule="auto"/>
              <w:ind w:left="0" w:right="0" w:firstLine="0"/>
              <w:jc w:val="left"/>
            </w:pPr>
            <w:r>
              <w:t xml:space="preserve">1,80 €/m3 </w:t>
            </w:r>
          </w:p>
        </w:tc>
      </w:tr>
      <w:tr w:rsidR="00A257CE">
        <w:tblPrEx>
          <w:tblCellMar>
            <w:top w:w="0" w:type="dxa"/>
            <w:bottom w:w="0" w:type="dxa"/>
          </w:tblCellMar>
        </w:tblPrEx>
        <w:trPr>
          <w:trHeight w:val="384"/>
        </w:trPr>
        <w:tc>
          <w:tcPr>
            <w:tcW w:w="3044"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115" w:type="dxa"/>
            </w:tcMar>
          </w:tcPr>
          <w:p w:rsidR="00A257CE" w:rsidRDefault="0041653A">
            <w:pPr>
              <w:spacing w:after="0" w:line="256" w:lineRule="auto"/>
              <w:ind w:left="2" w:right="0" w:firstLine="0"/>
              <w:jc w:val="left"/>
            </w:pPr>
            <w:r>
              <w:rPr>
                <w:i/>
              </w:rPr>
              <w:t xml:space="preserve">De 31 a 60 </w:t>
            </w:r>
            <w:r>
              <w:t xml:space="preserve">m3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115" w:type="dxa"/>
            </w:tcMar>
          </w:tcPr>
          <w:p w:rsidR="00A257CE" w:rsidRDefault="0041653A">
            <w:pPr>
              <w:spacing w:after="0" w:line="256" w:lineRule="auto"/>
              <w:ind w:left="0" w:right="0" w:firstLine="0"/>
              <w:jc w:val="left"/>
            </w:pPr>
            <w:r>
              <w:t xml:space="preserve">2,77 €/m3 </w:t>
            </w:r>
          </w:p>
        </w:tc>
      </w:tr>
      <w:tr w:rsidR="00A257CE">
        <w:tblPrEx>
          <w:tblCellMar>
            <w:top w:w="0" w:type="dxa"/>
            <w:bottom w:w="0" w:type="dxa"/>
          </w:tblCellMar>
        </w:tblPrEx>
        <w:trPr>
          <w:trHeight w:val="382"/>
        </w:trPr>
        <w:tc>
          <w:tcPr>
            <w:tcW w:w="3044"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115" w:type="dxa"/>
            </w:tcMar>
          </w:tcPr>
          <w:p w:rsidR="00A257CE" w:rsidRDefault="0041653A">
            <w:pPr>
              <w:spacing w:after="0" w:line="256" w:lineRule="auto"/>
              <w:ind w:left="2" w:right="0" w:firstLine="0"/>
              <w:jc w:val="left"/>
            </w:pPr>
            <w:r>
              <w:rPr>
                <w:i/>
              </w:rPr>
              <w:t xml:space="preserve">Más de 60 </w:t>
            </w:r>
            <w:r>
              <w:t xml:space="preserve">m3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115" w:type="dxa"/>
            </w:tcMar>
          </w:tcPr>
          <w:p w:rsidR="00A257CE" w:rsidRDefault="0041653A">
            <w:pPr>
              <w:spacing w:after="0" w:line="256" w:lineRule="auto"/>
              <w:ind w:left="0" w:right="0" w:firstLine="0"/>
              <w:jc w:val="left"/>
            </w:pPr>
            <w:r>
              <w:t xml:space="preserve">3,84 €/m3 </w:t>
            </w:r>
          </w:p>
        </w:tc>
      </w:tr>
    </w:tbl>
    <w:p w:rsidR="00A257CE" w:rsidRDefault="0041653A">
      <w:pPr>
        <w:spacing w:after="19" w:line="256" w:lineRule="auto"/>
        <w:ind w:left="644" w:right="0" w:firstLine="0"/>
        <w:jc w:val="left"/>
      </w:pPr>
      <w:r>
        <w:t xml:space="preserve"> </w:t>
      </w:r>
    </w:p>
    <w:p w:rsidR="00A257CE" w:rsidRDefault="0041653A">
      <w:pPr>
        <w:ind w:left="3117" w:right="847" w:firstLine="0"/>
      </w:pPr>
      <w:r>
        <w:t xml:space="preserve">A estos efectos, se entiende que el uso del </w:t>
      </w:r>
      <w:r>
        <w:t xml:space="preserve">servicio tiene carácter industrial o comercial, cuando la actividad que desarrolle el usuario esté contenida en el hecho imponible del Impuesto sobre Actividades Económicas y comprendida en la Sección Primera de las Tarifas del </w:t>
      </w:r>
      <w:r>
        <w:lastRenderedPageBreak/>
        <w:t xml:space="preserve">referido Impuesto, así como </w:t>
      </w:r>
      <w:r>
        <w:t xml:space="preserve">cualquier otro uso que no resulte ser estrictamente doméstico. </w:t>
      </w:r>
    </w:p>
    <w:p w:rsidR="00A257CE" w:rsidRDefault="0041653A">
      <w:pPr>
        <w:spacing w:after="16" w:line="256" w:lineRule="auto"/>
        <w:ind w:left="284" w:right="0" w:firstLine="0"/>
        <w:jc w:val="left"/>
      </w:pPr>
      <w:r>
        <w:t xml:space="preserve"> </w:t>
      </w:r>
    </w:p>
    <w:p w:rsidR="00A257CE" w:rsidRDefault="0041653A">
      <w:pPr>
        <w:ind w:left="1002" w:right="851"/>
      </w:pPr>
      <w:r>
        <w:t>2. La cuota a pagar correspondiente al servicio de evacuación de excretas, aguas pluviales, negras y residuales, a través de la red de alcantarillado municipal, y su tratamiento para depurar</w:t>
      </w:r>
      <w:r>
        <w:t xml:space="preserve">las, se determinará en función de: </w:t>
      </w:r>
    </w:p>
    <w:p w:rsidR="00A257CE" w:rsidRDefault="0041653A">
      <w:pPr>
        <w:numPr>
          <w:ilvl w:val="6"/>
          <w:numId w:val="14"/>
        </w:numPr>
        <w:ind w:left="1702" w:right="850" w:hanging="338"/>
      </w:pPr>
      <w:r>
        <w:t xml:space="preserve">Derecho de acometida a la red general de alcantarillado: el hecho de la conexión a la red por cada inmueble, vivienda individual, local comercial o suministro para obras. </w:t>
      </w:r>
    </w:p>
    <w:p w:rsidR="00A257CE" w:rsidRDefault="0041653A">
      <w:pPr>
        <w:numPr>
          <w:ilvl w:val="6"/>
          <w:numId w:val="14"/>
        </w:numPr>
        <w:ind w:left="1702" w:right="850" w:hanging="338"/>
      </w:pPr>
      <w:r>
        <w:t>Los metros cúbicos de agua consumida en el inmue</w:t>
      </w:r>
      <w:r>
        <w:t xml:space="preserve">ble donde esté instalado el servicio: se determinará en función del consumo bimestral de agua, medido en metros cúbicos, deducido de la lectura del contador de abastecimiento de agua. </w:t>
      </w:r>
    </w:p>
    <w:p w:rsidR="00A257CE" w:rsidRDefault="0041653A">
      <w:pPr>
        <w:ind w:left="1271" w:right="555" w:firstLine="0"/>
      </w:pPr>
      <w:r>
        <w:t xml:space="preserve">Las tarifas a aplicar son las siguientes: </w:t>
      </w:r>
    </w:p>
    <w:p w:rsidR="00A257CE" w:rsidRDefault="0041653A">
      <w:pPr>
        <w:ind w:left="1703" w:right="852" w:hanging="432"/>
      </w:pPr>
      <w:r>
        <w:t xml:space="preserve">2.1. La concesión de la </w:t>
      </w:r>
      <w:r>
        <w:t xml:space="preserve">licencia o autorización de acometida a la red de alcantarillado se exigirá por una sola vez, con arreglo a las siguientes tarifas: </w:t>
      </w:r>
    </w:p>
    <w:p w:rsidR="00A257CE" w:rsidRDefault="0041653A">
      <w:pPr>
        <w:numPr>
          <w:ilvl w:val="2"/>
          <w:numId w:val="15"/>
        </w:numPr>
        <w:ind w:right="555" w:hanging="709"/>
      </w:pPr>
      <w:r>
        <w:t xml:space="preserve">Cuando se trate de acometidas individuales, para una sola vivienda o local, por cada licencia de acometida 66,10 euros. </w:t>
      </w:r>
    </w:p>
    <w:p w:rsidR="00A257CE" w:rsidRDefault="0041653A">
      <w:pPr>
        <w:numPr>
          <w:ilvl w:val="2"/>
          <w:numId w:val="15"/>
        </w:numPr>
        <w:ind w:right="555" w:hanging="709"/>
      </w:pPr>
      <w:r>
        <w:t>Cua</w:t>
      </w:r>
      <w:r>
        <w:t xml:space="preserve">ndo se trate de licencias de acometidas colectivas, a solicitud del promotor o propietario de un edificio, por cada unidad de vivienda o local 42,60 euros. En este supuesto, el promotor o propietario del edificio podrá repercutir la unidad de cuota, en el </w:t>
      </w:r>
      <w:r>
        <w:t xml:space="preserve">adquirente de cada vivienda o local. </w:t>
      </w:r>
    </w:p>
    <w:p w:rsidR="00A257CE" w:rsidRDefault="0041653A">
      <w:pPr>
        <w:spacing w:after="16" w:line="256" w:lineRule="auto"/>
        <w:ind w:left="2411" w:right="0" w:firstLine="0"/>
        <w:jc w:val="left"/>
      </w:pPr>
      <w:r>
        <w:t xml:space="preserve"> </w:t>
      </w:r>
    </w:p>
    <w:p w:rsidR="00A257CE" w:rsidRDefault="0041653A">
      <w:pPr>
        <w:ind w:left="1554" w:right="555" w:firstLine="0"/>
      </w:pPr>
      <w:r>
        <w:t xml:space="preserve">2.2. Consumos de agua al bimestre. </w:t>
      </w:r>
    </w:p>
    <w:p w:rsidR="00A257CE" w:rsidRDefault="0041653A">
      <w:pPr>
        <w:numPr>
          <w:ilvl w:val="2"/>
          <w:numId w:val="16"/>
        </w:numPr>
        <w:ind w:right="555" w:hanging="709"/>
      </w:pPr>
      <w:r>
        <w:t xml:space="preserve">Para uso doméstico. Se aplicará esta modalidad, exclusivamente a inmuebles destinados a viviendas, siempre que en ellos no se realice actividad industrial, comercial o profesional </w:t>
      </w:r>
      <w:r>
        <w:t xml:space="preserve">de ningún tipo. </w:t>
      </w:r>
    </w:p>
    <w:p w:rsidR="00A257CE" w:rsidRDefault="0041653A">
      <w:pPr>
        <w:spacing w:after="0" w:line="256" w:lineRule="auto"/>
        <w:ind w:left="2695" w:right="0" w:firstLine="0"/>
        <w:jc w:val="left"/>
      </w:pPr>
      <w:r>
        <w:t xml:space="preserve"> </w:t>
      </w:r>
    </w:p>
    <w:tbl>
      <w:tblPr>
        <w:tblW w:w="5891" w:type="dxa"/>
        <w:tblInd w:w="3290" w:type="dxa"/>
        <w:tblCellMar>
          <w:left w:w="10" w:type="dxa"/>
          <w:right w:w="10" w:type="dxa"/>
        </w:tblCellMar>
        <w:tblLook w:val="0000" w:firstRow="0" w:lastRow="0" w:firstColumn="0" w:lastColumn="0" w:noHBand="0" w:noVBand="0"/>
      </w:tblPr>
      <w:tblGrid>
        <w:gridCol w:w="2953"/>
        <w:gridCol w:w="2938"/>
      </w:tblGrid>
      <w:tr w:rsidR="00A257CE">
        <w:tblPrEx>
          <w:tblCellMar>
            <w:top w:w="0" w:type="dxa"/>
            <w:bottom w:w="0" w:type="dxa"/>
          </w:tblCellMar>
        </w:tblPrEx>
        <w:trPr>
          <w:trHeight w:val="300"/>
        </w:trPr>
        <w:tc>
          <w:tcPr>
            <w:tcW w:w="2953" w:type="dxa"/>
            <w:tcBorders>
              <w:top w:val="single" w:sz="4" w:space="0" w:color="000000"/>
              <w:left w:val="single" w:sz="4" w:space="0" w:color="000000"/>
              <w:bottom w:val="single" w:sz="4" w:space="0" w:color="000000"/>
              <w:right w:val="single" w:sz="4" w:space="0" w:color="000000"/>
            </w:tcBorders>
            <w:shd w:val="clear" w:color="auto" w:fill="auto"/>
            <w:tcMar>
              <w:top w:w="50" w:type="dxa"/>
              <w:left w:w="108" w:type="dxa"/>
              <w:bottom w:w="0" w:type="dxa"/>
              <w:right w:w="49" w:type="dxa"/>
            </w:tcMar>
          </w:tcPr>
          <w:p w:rsidR="00A257CE" w:rsidRDefault="0041653A">
            <w:pPr>
              <w:spacing w:after="0" w:line="256" w:lineRule="auto"/>
              <w:ind w:left="0" w:right="0" w:firstLine="0"/>
              <w:jc w:val="left"/>
            </w:pPr>
            <w:r>
              <w:rPr>
                <w:b/>
              </w:rPr>
              <w:t xml:space="preserve">Bloque de Consumo  </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top w:w="50" w:type="dxa"/>
              <w:left w:w="108" w:type="dxa"/>
              <w:bottom w:w="0" w:type="dxa"/>
              <w:right w:w="49" w:type="dxa"/>
            </w:tcMar>
          </w:tcPr>
          <w:p w:rsidR="00A257CE" w:rsidRDefault="0041653A">
            <w:pPr>
              <w:spacing w:after="0" w:line="256" w:lineRule="auto"/>
              <w:ind w:left="0" w:right="62" w:firstLine="0"/>
              <w:jc w:val="center"/>
            </w:pPr>
            <w:r>
              <w:rPr>
                <w:b/>
              </w:rPr>
              <w:t xml:space="preserve">Importe </w:t>
            </w:r>
          </w:p>
        </w:tc>
      </w:tr>
      <w:tr w:rsidR="00A257CE">
        <w:tblPrEx>
          <w:tblCellMar>
            <w:top w:w="0" w:type="dxa"/>
            <w:bottom w:w="0" w:type="dxa"/>
          </w:tblCellMar>
        </w:tblPrEx>
        <w:trPr>
          <w:trHeight w:val="264"/>
        </w:trPr>
        <w:tc>
          <w:tcPr>
            <w:tcW w:w="2953" w:type="dxa"/>
            <w:tcBorders>
              <w:top w:val="single" w:sz="4" w:space="0" w:color="000000"/>
              <w:left w:val="single" w:sz="4" w:space="0" w:color="000000"/>
              <w:bottom w:val="single" w:sz="4" w:space="0" w:color="000000"/>
              <w:right w:val="single" w:sz="4" w:space="0" w:color="000000"/>
            </w:tcBorders>
            <w:shd w:val="clear" w:color="auto" w:fill="auto"/>
            <w:tcMar>
              <w:top w:w="50" w:type="dxa"/>
              <w:left w:w="108" w:type="dxa"/>
              <w:bottom w:w="0" w:type="dxa"/>
              <w:right w:w="49" w:type="dxa"/>
            </w:tcMar>
          </w:tcPr>
          <w:p w:rsidR="00A257CE" w:rsidRDefault="0041653A">
            <w:pPr>
              <w:spacing w:after="0" w:line="256" w:lineRule="auto"/>
              <w:ind w:left="0" w:right="0" w:firstLine="0"/>
              <w:jc w:val="left"/>
            </w:pPr>
            <w:r>
              <w:t>Mínimo de 10 m3</w:t>
            </w:r>
            <w:r>
              <w:rPr>
                <w:b/>
                <w:sz w:val="21"/>
              </w:rPr>
              <w:t xml:space="preserve"> </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top w:w="50" w:type="dxa"/>
              <w:left w:w="108" w:type="dxa"/>
              <w:bottom w:w="0" w:type="dxa"/>
              <w:right w:w="49" w:type="dxa"/>
            </w:tcMar>
          </w:tcPr>
          <w:p w:rsidR="00A257CE" w:rsidRDefault="0041653A">
            <w:pPr>
              <w:spacing w:after="0" w:line="256" w:lineRule="auto"/>
              <w:ind w:left="0" w:right="56" w:firstLine="0"/>
              <w:jc w:val="right"/>
            </w:pPr>
            <w:r>
              <w:t>1,76  euros</w:t>
            </w:r>
            <w:r>
              <w:rPr>
                <w:b/>
                <w:sz w:val="21"/>
              </w:rPr>
              <w:t xml:space="preserve"> </w:t>
            </w:r>
          </w:p>
        </w:tc>
      </w:tr>
      <w:tr w:rsidR="00A257CE">
        <w:tblPrEx>
          <w:tblCellMar>
            <w:top w:w="0" w:type="dxa"/>
            <w:bottom w:w="0" w:type="dxa"/>
          </w:tblCellMar>
        </w:tblPrEx>
        <w:trPr>
          <w:trHeight w:val="262"/>
        </w:trPr>
        <w:tc>
          <w:tcPr>
            <w:tcW w:w="2953" w:type="dxa"/>
            <w:tcBorders>
              <w:top w:val="single" w:sz="4" w:space="0" w:color="000000"/>
              <w:left w:val="single" w:sz="4" w:space="0" w:color="000000"/>
              <w:bottom w:val="single" w:sz="4" w:space="0" w:color="000000"/>
              <w:right w:val="single" w:sz="4" w:space="0" w:color="000000"/>
            </w:tcBorders>
            <w:shd w:val="clear" w:color="auto" w:fill="auto"/>
            <w:tcMar>
              <w:top w:w="50" w:type="dxa"/>
              <w:left w:w="108" w:type="dxa"/>
              <w:bottom w:w="0" w:type="dxa"/>
              <w:right w:w="49" w:type="dxa"/>
            </w:tcMar>
          </w:tcPr>
          <w:p w:rsidR="00A257CE" w:rsidRDefault="0041653A">
            <w:pPr>
              <w:spacing w:after="0" w:line="256" w:lineRule="auto"/>
              <w:ind w:left="0" w:right="0" w:firstLine="0"/>
              <w:jc w:val="left"/>
            </w:pPr>
            <w:r>
              <w:t>Mas de 10 m3</w:t>
            </w:r>
            <w:r>
              <w:rPr>
                <w:b/>
                <w:sz w:val="21"/>
              </w:rPr>
              <w:t xml:space="preserve"> </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top w:w="50" w:type="dxa"/>
              <w:left w:w="108" w:type="dxa"/>
              <w:bottom w:w="0" w:type="dxa"/>
              <w:right w:w="49" w:type="dxa"/>
            </w:tcMar>
          </w:tcPr>
          <w:p w:rsidR="00A257CE" w:rsidRDefault="0041653A">
            <w:pPr>
              <w:spacing w:after="0" w:line="256" w:lineRule="auto"/>
              <w:ind w:left="0" w:right="57" w:firstLine="0"/>
              <w:jc w:val="right"/>
            </w:pPr>
            <w:r>
              <w:t>0,176 euros/m3</w:t>
            </w:r>
            <w:r>
              <w:rPr>
                <w:b/>
                <w:sz w:val="21"/>
              </w:rPr>
              <w:t xml:space="preserve"> </w:t>
            </w:r>
          </w:p>
        </w:tc>
      </w:tr>
    </w:tbl>
    <w:p w:rsidR="00A257CE" w:rsidRDefault="0041653A">
      <w:pPr>
        <w:spacing w:after="16" w:line="256" w:lineRule="auto"/>
        <w:ind w:left="2695" w:right="0" w:firstLine="0"/>
        <w:jc w:val="left"/>
      </w:pPr>
      <w:r>
        <w:t xml:space="preserve"> </w:t>
      </w:r>
    </w:p>
    <w:p w:rsidR="00A257CE" w:rsidRDefault="0041653A">
      <w:pPr>
        <w:numPr>
          <w:ilvl w:val="2"/>
          <w:numId w:val="16"/>
        </w:numPr>
        <w:ind w:right="555" w:hanging="709"/>
      </w:pPr>
      <w:r>
        <w:t>Para uso industrial o comercial o de obras. El suministro para usos industriales o comerciales serán todos aquellos suministros de agua potable</w:t>
      </w:r>
      <w:r>
        <w:t xml:space="preserve"> destinados a locales donde se desarrollen actividades comerciales, profesionales o industriales, y además, aquellos suministros que aun precisando el agua como elemento de atención directa a las necesidades primarias de la vida sean objeto de una activida</w:t>
      </w:r>
      <w:r>
        <w:t xml:space="preserve">d económica lucrativa, y en general todos aquellos en los que el agua no se utilice para los fines expuestos en el apartado anterior. </w:t>
      </w:r>
    </w:p>
    <w:p w:rsidR="00A257CE" w:rsidRDefault="0041653A">
      <w:pPr>
        <w:spacing w:after="19" w:line="256" w:lineRule="auto"/>
        <w:ind w:left="2695" w:right="0" w:firstLine="0"/>
        <w:jc w:val="left"/>
      </w:pPr>
      <w:r>
        <w:t xml:space="preserve"> </w:t>
      </w:r>
    </w:p>
    <w:p w:rsidR="00A257CE" w:rsidRDefault="0041653A">
      <w:pPr>
        <w:spacing w:after="0" w:line="256" w:lineRule="auto"/>
        <w:ind w:left="2695" w:right="0" w:firstLine="0"/>
        <w:jc w:val="left"/>
      </w:pPr>
      <w:r>
        <w:t xml:space="preserve"> </w:t>
      </w:r>
    </w:p>
    <w:tbl>
      <w:tblPr>
        <w:tblW w:w="5891" w:type="dxa"/>
        <w:tblInd w:w="3290" w:type="dxa"/>
        <w:tblCellMar>
          <w:left w:w="10" w:type="dxa"/>
          <w:right w:w="10" w:type="dxa"/>
        </w:tblCellMar>
        <w:tblLook w:val="0000" w:firstRow="0" w:lastRow="0" w:firstColumn="0" w:lastColumn="0" w:noHBand="0" w:noVBand="0"/>
      </w:tblPr>
      <w:tblGrid>
        <w:gridCol w:w="2953"/>
        <w:gridCol w:w="2938"/>
      </w:tblGrid>
      <w:tr w:rsidR="00A257CE">
        <w:tblPrEx>
          <w:tblCellMar>
            <w:top w:w="0" w:type="dxa"/>
            <w:bottom w:w="0" w:type="dxa"/>
          </w:tblCellMar>
        </w:tblPrEx>
        <w:trPr>
          <w:trHeight w:val="300"/>
        </w:trPr>
        <w:tc>
          <w:tcPr>
            <w:tcW w:w="2953" w:type="dxa"/>
            <w:tcBorders>
              <w:top w:val="single" w:sz="4" w:space="0" w:color="000000"/>
              <w:left w:val="single" w:sz="4" w:space="0" w:color="000000"/>
              <w:bottom w:val="single" w:sz="4" w:space="0" w:color="000000"/>
              <w:right w:val="single" w:sz="4" w:space="0" w:color="000000"/>
            </w:tcBorders>
            <w:shd w:val="clear" w:color="auto" w:fill="auto"/>
            <w:tcMar>
              <w:top w:w="50" w:type="dxa"/>
              <w:left w:w="108" w:type="dxa"/>
              <w:bottom w:w="0" w:type="dxa"/>
              <w:right w:w="49" w:type="dxa"/>
            </w:tcMar>
          </w:tcPr>
          <w:p w:rsidR="00A257CE" w:rsidRDefault="0041653A">
            <w:pPr>
              <w:spacing w:after="0" w:line="256" w:lineRule="auto"/>
              <w:ind w:left="0" w:right="0" w:firstLine="0"/>
              <w:jc w:val="left"/>
            </w:pPr>
            <w:r>
              <w:rPr>
                <w:b/>
              </w:rPr>
              <w:lastRenderedPageBreak/>
              <w:t xml:space="preserve">Bloque de Consumo  </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top w:w="50" w:type="dxa"/>
              <w:left w:w="108" w:type="dxa"/>
              <w:bottom w:w="0" w:type="dxa"/>
              <w:right w:w="49" w:type="dxa"/>
            </w:tcMar>
          </w:tcPr>
          <w:p w:rsidR="00A257CE" w:rsidRDefault="0041653A">
            <w:pPr>
              <w:spacing w:after="0" w:line="256" w:lineRule="auto"/>
              <w:ind w:left="0" w:right="62" w:firstLine="0"/>
              <w:jc w:val="center"/>
            </w:pPr>
            <w:r>
              <w:rPr>
                <w:b/>
              </w:rPr>
              <w:t xml:space="preserve">Importe </w:t>
            </w:r>
          </w:p>
        </w:tc>
      </w:tr>
      <w:tr w:rsidR="00A257CE">
        <w:tblPrEx>
          <w:tblCellMar>
            <w:top w:w="0" w:type="dxa"/>
            <w:bottom w:w="0" w:type="dxa"/>
          </w:tblCellMar>
        </w:tblPrEx>
        <w:trPr>
          <w:trHeight w:val="264"/>
        </w:trPr>
        <w:tc>
          <w:tcPr>
            <w:tcW w:w="2953" w:type="dxa"/>
            <w:tcBorders>
              <w:top w:val="single" w:sz="4" w:space="0" w:color="000000"/>
              <w:left w:val="single" w:sz="4" w:space="0" w:color="000000"/>
              <w:bottom w:val="single" w:sz="4" w:space="0" w:color="000000"/>
              <w:right w:val="single" w:sz="4" w:space="0" w:color="000000"/>
            </w:tcBorders>
            <w:shd w:val="clear" w:color="auto" w:fill="auto"/>
            <w:tcMar>
              <w:top w:w="50" w:type="dxa"/>
              <w:left w:w="108" w:type="dxa"/>
              <w:bottom w:w="0" w:type="dxa"/>
              <w:right w:w="49" w:type="dxa"/>
            </w:tcMar>
          </w:tcPr>
          <w:p w:rsidR="00A257CE" w:rsidRDefault="0041653A">
            <w:pPr>
              <w:spacing w:after="0" w:line="256" w:lineRule="auto"/>
              <w:ind w:left="0" w:right="0" w:firstLine="0"/>
              <w:jc w:val="left"/>
            </w:pPr>
            <w:r>
              <w:t>Mínimo de 10 m3</w:t>
            </w:r>
            <w:r>
              <w:rPr>
                <w:b/>
                <w:sz w:val="21"/>
              </w:rPr>
              <w:t xml:space="preserve"> </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top w:w="50" w:type="dxa"/>
              <w:left w:w="108" w:type="dxa"/>
              <w:bottom w:w="0" w:type="dxa"/>
              <w:right w:w="49" w:type="dxa"/>
            </w:tcMar>
          </w:tcPr>
          <w:p w:rsidR="00A257CE" w:rsidRDefault="0041653A">
            <w:pPr>
              <w:spacing w:after="0" w:line="256" w:lineRule="auto"/>
              <w:ind w:left="0" w:right="56" w:firstLine="0"/>
              <w:jc w:val="right"/>
            </w:pPr>
            <w:r>
              <w:t>2,02 euros</w:t>
            </w:r>
            <w:r>
              <w:rPr>
                <w:b/>
                <w:sz w:val="21"/>
              </w:rPr>
              <w:t xml:space="preserve"> </w:t>
            </w:r>
          </w:p>
        </w:tc>
      </w:tr>
      <w:tr w:rsidR="00A257CE">
        <w:tblPrEx>
          <w:tblCellMar>
            <w:top w:w="0" w:type="dxa"/>
            <w:bottom w:w="0" w:type="dxa"/>
          </w:tblCellMar>
        </w:tblPrEx>
        <w:trPr>
          <w:trHeight w:val="264"/>
        </w:trPr>
        <w:tc>
          <w:tcPr>
            <w:tcW w:w="2953" w:type="dxa"/>
            <w:tcBorders>
              <w:top w:val="single" w:sz="4" w:space="0" w:color="000000"/>
              <w:left w:val="single" w:sz="4" w:space="0" w:color="000000"/>
              <w:bottom w:val="single" w:sz="4" w:space="0" w:color="000000"/>
              <w:right w:val="single" w:sz="4" w:space="0" w:color="000000"/>
            </w:tcBorders>
            <w:shd w:val="clear" w:color="auto" w:fill="auto"/>
            <w:tcMar>
              <w:top w:w="50" w:type="dxa"/>
              <w:left w:w="108" w:type="dxa"/>
              <w:bottom w:w="0" w:type="dxa"/>
              <w:right w:w="49" w:type="dxa"/>
            </w:tcMar>
          </w:tcPr>
          <w:p w:rsidR="00A257CE" w:rsidRDefault="0041653A">
            <w:pPr>
              <w:spacing w:after="0" w:line="256" w:lineRule="auto"/>
              <w:ind w:left="0" w:right="0" w:firstLine="0"/>
              <w:jc w:val="left"/>
            </w:pPr>
            <w:r>
              <w:t>Mas de 10 m3</w:t>
            </w:r>
            <w:r>
              <w:rPr>
                <w:b/>
                <w:sz w:val="21"/>
              </w:rPr>
              <w:t xml:space="preserve"> </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top w:w="50" w:type="dxa"/>
              <w:left w:w="108" w:type="dxa"/>
              <w:bottom w:w="0" w:type="dxa"/>
              <w:right w:w="49" w:type="dxa"/>
            </w:tcMar>
          </w:tcPr>
          <w:p w:rsidR="00A257CE" w:rsidRDefault="0041653A">
            <w:pPr>
              <w:spacing w:after="0" w:line="256" w:lineRule="auto"/>
              <w:ind w:left="0" w:right="57" w:firstLine="0"/>
              <w:jc w:val="right"/>
            </w:pPr>
            <w:r>
              <w:t>0,201 euros/m3</w:t>
            </w:r>
            <w:r>
              <w:rPr>
                <w:b/>
                <w:sz w:val="21"/>
              </w:rPr>
              <w:t xml:space="preserve"> </w:t>
            </w:r>
          </w:p>
        </w:tc>
      </w:tr>
    </w:tbl>
    <w:p w:rsidR="00A257CE" w:rsidRDefault="0041653A">
      <w:pPr>
        <w:spacing w:after="16" w:line="256" w:lineRule="auto"/>
        <w:ind w:left="568" w:right="0" w:firstLine="0"/>
        <w:jc w:val="left"/>
      </w:pPr>
      <w:r>
        <w:t xml:space="preserve"> </w:t>
      </w:r>
    </w:p>
    <w:p w:rsidR="00A257CE" w:rsidRDefault="0041653A">
      <w:pPr>
        <w:spacing w:after="16" w:line="256" w:lineRule="auto"/>
        <w:ind w:left="568" w:right="0" w:firstLine="0"/>
        <w:jc w:val="left"/>
      </w:pPr>
      <w:r>
        <w:t xml:space="preserve"> </w:t>
      </w:r>
    </w:p>
    <w:p w:rsidR="00A257CE" w:rsidRDefault="0041653A">
      <w:pPr>
        <w:numPr>
          <w:ilvl w:val="0"/>
          <w:numId w:val="5"/>
        </w:numPr>
        <w:spacing w:after="29" w:line="247" w:lineRule="auto"/>
        <w:ind w:left="1323" w:right="554" w:hanging="770"/>
      </w:pPr>
      <w:r>
        <w:rPr>
          <w:b/>
        </w:rPr>
        <w:t xml:space="preserve">Depósito previo. </w:t>
      </w:r>
    </w:p>
    <w:p w:rsidR="00A257CE" w:rsidRDefault="0041653A">
      <w:pPr>
        <w:numPr>
          <w:ilvl w:val="4"/>
          <w:numId w:val="17"/>
        </w:numPr>
        <w:ind w:right="555" w:hanging="348"/>
      </w:pPr>
      <w:r>
        <w:t xml:space="preserve">Con </w:t>
      </w:r>
      <w:r>
        <w:t>carácter previo a la formalización del contrato de suministro y como garantía del pago de este, el abonado viene obligado a constituir el depósito correspondiente, que le será devuelto al producirse la baja del servicio, siempre que no exista a su cargo de</w:t>
      </w:r>
      <w:r>
        <w:t xml:space="preserve">uda alguna por el expresado concepto. </w:t>
      </w:r>
    </w:p>
    <w:p w:rsidR="00A257CE" w:rsidRDefault="0041653A">
      <w:pPr>
        <w:numPr>
          <w:ilvl w:val="4"/>
          <w:numId w:val="17"/>
        </w:numPr>
        <w:ind w:right="555" w:hanging="348"/>
      </w:pPr>
      <w:r>
        <w:t xml:space="preserve">La cuantía del depósito correspondiente será la siguiente:  </w:t>
      </w:r>
    </w:p>
    <w:p w:rsidR="00A257CE" w:rsidRDefault="0041653A">
      <w:pPr>
        <w:numPr>
          <w:ilvl w:val="1"/>
          <w:numId w:val="18"/>
        </w:numPr>
        <w:ind w:right="555" w:hanging="389"/>
      </w:pPr>
      <w:r>
        <w:t xml:space="preserve">Si se trata de un contrato o póliza con uso doméstico: </w:t>
      </w:r>
    </w:p>
    <w:p w:rsidR="00A257CE" w:rsidRDefault="0041653A">
      <w:pPr>
        <w:spacing w:after="0" w:line="256" w:lineRule="auto"/>
        <w:ind w:left="1665" w:right="0" w:firstLine="0"/>
        <w:jc w:val="left"/>
      </w:pPr>
      <w:r>
        <w:t xml:space="preserve"> </w:t>
      </w:r>
    </w:p>
    <w:tbl>
      <w:tblPr>
        <w:tblW w:w="6378" w:type="dxa"/>
        <w:tblInd w:w="1631" w:type="dxa"/>
        <w:tblCellMar>
          <w:left w:w="10" w:type="dxa"/>
          <w:right w:w="10" w:type="dxa"/>
        </w:tblCellMar>
        <w:tblLook w:val="0000" w:firstRow="0" w:lastRow="0" w:firstColumn="0" w:lastColumn="0" w:noHBand="0" w:noVBand="0"/>
      </w:tblPr>
      <w:tblGrid>
        <w:gridCol w:w="3826"/>
        <w:gridCol w:w="2552"/>
      </w:tblGrid>
      <w:tr w:rsidR="00A257CE">
        <w:tblPrEx>
          <w:tblCellMar>
            <w:top w:w="0" w:type="dxa"/>
            <w:bottom w:w="0" w:type="dxa"/>
          </w:tblCellMar>
        </w:tblPrEx>
        <w:trPr>
          <w:trHeight w:val="300"/>
        </w:trPr>
        <w:tc>
          <w:tcPr>
            <w:tcW w:w="3826"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47" w:type="dxa"/>
            </w:tcMar>
          </w:tcPr>
          <w:p w:rsidR="00A257CE" w:rsidRDefault="0041653A">
            <w:pPr>
              <w:spacing w:after="0" w:line="256" w:lineRule="auto"/>
              <w:ind w:left="0" w:right="0" w:firstLine="0"/>
            </w:pPr>
            <w:r>
              <w:rPr>
                <w:b/>
              </w:rPr>
              <w:t xml:space="preserve">Abonado con contador de calibre: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47" w:type="dxa"/>
            </w:tcMar>
          </w:tcPr>
          <w:p w:rsidR="00A257CE" w:rsidRDefault="0041653A">
            <w:pPr>
              <w:spacing w:after="0" w:line="256" w:lineRule="auto"/>
              <w:ind w:left="0" w:right="59" w:firstLine="0"/>
              <w:jc w:val="center"/>
            </w:pPr>
            <w:r>
              <w:rPr>
                <w:b/>
              </w:rPr>
              <w:t xml:space="preserve">Depósito </w:t>
            </w:r>
          </w:p>
        </w:tc>
      </w:tr>
      <w:tr w:rsidR="00A257CE">
        <w:tblPrEx>
          <w:tblCellMar>
            <w:top w:w="0" w:type="dxa"/>
            <w:bottom w:w="0" w:type="dxa"/>
          </w:tblCellMar>
        </w:tblPrEx>
        <w:trPr>
          <w:trHeight w:val="302"/>
        </w:trPr>
        <w:tc>
          <w:tcPr>
            <w:tcW w:w="3826"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47" w:type="dxa"/>
            </w:tcMar>
          </w:tcPr>
          <w:p w:rsidR="00A257CE" w:rsidRDefault="0041653A">
            <w:pPr>
              <w:spacing w:after="0" w:line="256" w:lineRule="auto"/>
              <w:ind w:left="0" w:right="0" w:firstLine="0"/>
              <w:jc w:val="left"/>
            </w:pPr>
            <w:r>
              <w:t xml:space="preserve">DN 13-15mm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47" w:type="dxa"/>
            </w:tcMar>
          </w:tcPr>
          <w:p w:rsidR="00A257CE" w:rsidRDefault="0041653A">
            <w:pPr>
              <w:spacing w:after="0" w:line="256" w:lineRule="auto"/>
              <w:ind w:left="0" w:right="61" w:firstLine="0"/>
              <w:jc w:val="right"/>
            </w:pPr>
            <w:r>
              <w:t xml:space="preserve">25,57 euros </w:t>
            </w:r>
          </w:p>
        </w:tc>
      </w:tr>
      <w:tr w:rsidR="00A257CE">
        <w:tblPrEx>
          <w:tblCellMar>
            <w:top w:w="0" w:type="dxa"/>
            <w:bottom w:w="0" w:type="dxa"/>
          </w:tblCellMar>
        </w:tblPrEx>
        <w:trPr>
          <w:trHeight w:val="300"/>
        </w:trPr>
        <w:tc>
          <w:tcPr>
            <w:tcW w:w="3826"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47" w:type="dxa"/>
            </w:tcMar>
          </w:tcPr>
          <w:p w:rsidR="00A257CE" w:rsidRDefault="0041653A">
            <w:pPr>
              <w:spacing w:after="0" w:line="256" w:lineRule="auto"/>
              <w:ind w:left="0" w:right="0" w:firstLine="0"/>
              <w:jc w:val="left"/>
            </w:pPr>
            <w:r>
              <w:t xml:space="preserve">DN 20-25mm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47" w:type="dxa"/>
            </w:tcMar>
          </w:tcPr>
          <w:p w:rsidR="00A257CE" w:rsidRDefault="0041653A">
            <w:pPr>
              <w:spacing w:after="0" w:line="256" w:lineRule="auto"/>
              <w:ind w:left="0" w:right="61" w:firstLine="0"/>
              <w:jc w:val="right"/>
            </w:pPr>
            <w:r>
              <w:t xml:space="preserve">54,80 euros </w:t>
            </w:r>
          </w:p>
        </w:tc>
      </w:tr>
      <w:tr w:rsidR="00A257CE">
        <w:tblPrEx>
          <w:tblCellMar>
            <w:top w:w="0" w:type="dxa"/>
            <w:bottom w:w="0" w:type="dxa"/>
          </w:tblCellMar>
        </w:tblPrEx>
        <w:trPr>
          <w:trHeight w:val="302"/>
        </w:trPr>
        <w:tc>
          <w:tcPr>
            <w:tcW w:w="3826"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47" w:type="dxa"/>
            </w:tcMar>
          </w:tcPr>
          <w:p w:rsidR="00A257CE" w:rsidRDefault="0041653A">
            <w:pPr>
              <w:spacing w:after="0" w:line="256" w:lineRule="auto"/>
              <w:ind w:left="0" w:right="0" w:firstLine="0"/>
              <w:jc w:val="left"/>
            </w:pPr>
            <w:r>
              <w:t xml:space="preserve">DN 30-32mm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47" w:type="dxa"/>
            </w:tcMar>
          </w:tcPr>
          <w:p w:rsidR="00A257CE" w:rsidRDefault="0041653A">
            <w:pPr>
              <w:spacing w:after="0" w:line="256" w:lineRule="auto"/>
              <w:ind w:left="0" w:right="62" w:firstLine="0"/>
              <w:jc w:val="right"/>
            </w:pPr>
            <w:r>
              <w:t xml:space="preserve">116,42 euros </w:t>
            </w:r>
          </w:p>
        </w:tc>
      </w:tr>
      <w:tr w:rsidR="00A257CE">
        <w:tblPrEx>
          <w:tblCellMar>
            <w:top w:w="0" w:type="dxa"/>
            <w:bottom w:w="0" w:type="dxa"/>
          </w:tblCellMar>
        </w:tblPrEx>
        <w:trPr>
          <w:trHeight w:val="302"/>
        </w:trPr>
        <w:tc>
          <w:tcPr>
            <w:tcW w:w="3826"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47" w:type="dxa"/>
            </w:tcMar>
          </w:tcPr>
          <w:p w:rsidR="00A257CE" w:rsidRDefault="0041653A">
            <w:pPr>
              <w:spacing w:after="0" w:line="256" w:lineRule="auto"/>
              <w:ind w:left="0" w:right="0" w:firstLine="0"/>
              <w:jc w:val="left"/>
            </w:pPr>
            <w:r>
              <w:t xml:space="preserve">DN 40 mm: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47" w:type="dxa"/>
            </w:tcMar>
          </w:tcPr>
          <w:p w:rsidR="00A257CE" w:rsidRDefault="0041653A">
            <w:pPr>
              <w:spacing w:after="0" w:line="256" w:lineRule="auto"/>
              <w:ind w:left="0" w:right="62" w:firstLine="0"/>
              <w:jc w:val="right"/>
            </w:pPr>
            <w:r>
              <w:t xml:space="preserve">215,60 euros </w:t>
            </w:r>
          </w:p>
        </w:tc>
      </w:tr>
      <w:tr w:rsidR="00A257CE">
        <w:tblPrEx>
          <w:tblCellMar>
            <w:top w:w="0" w:type="dxa"/>
            <w:bottom w:w="0" w:type="dxa"/>
          </w:tblCellMar>
        </w:tblPrEx>
        <w:trPr>
          <w:trHeight w:val="300"/>
        </w:trPr>
        <w:tc>
          <w:tcPr>
            <w:tcW w:w="3826"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47" w:type="dxa"/>
            </w:tcMar>
          </w:tcPr>
          <w:p w:rsidR="00A257CE" w:rsidRDefault="0041653A">
            <w:pPr>
              <w:spacing w:after="0" w:line="256" w:lineRule="auto"/>
              <w:ind w:left="0" w:right="0" w:firstLine="0"/>
              <w:jc w:val="left"/>
            </w:pPr>
            <w:r>
              <w:t xml:space="preserve">DN 50 mm: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47" w:type="dxa"/>
            </w:tcMar>
          </w:tcPr>
          <w:p w:rsidR="00A257CE" w:rsidRDefault="0041653A">
            <w:pPr>
              <w:spacing w:after="0" w:line="256" w:lineRule="auto"/>
              <w:ind w:left="0" w:right="62" w:firstLine="0"/>
              <w:jc w:val="right"/>
            </w:pPr>
            <w:r>
              <w:t xml:space="preserve">339,56 euros </w:t>
            </w:r>
          </w:p>
        </w:tc>
      </w:tr>
      <w:tr w:rsidR="00A257CE">
        <w:tblPrEx>
          <w:tblCellMar>
            <w:top w:w="0" w:type="dxa"/>
            <w:bottom w:w="0" w:type="dxa"/>
          </w:tblCellMar>
        </w:tblPrEx>
        <w:trPr>
          <w:trHeight w:val="302"/>
        </w:trPr>
        <w:tc>
          <w:tcPr>
            <w:tcW w:w="3826"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47" w:type="dxa"/>
            </w:tcMar>
          </w:tcPr>
          <w:p w:rsidR="00A257CE" w:rsidRDefault="0041653A">
            <w:pPr>
              <w:spacing w:after="0" w:line="256" w:lineRule="auto"/>
              <w:ind w:left="0" w:right="0" w:firstLine="0"/>
              <w:jc w:val="left"/>
            </w:pPr>
            <w:r>
              <w:t xml:space="preserve">DN 65 mm: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47" w:type="dxa"/>
            </w:tcMar>
          </w:tcPr>
          <w:p w:rsidR="00A257CE" w:rsidRDefault="0041653A">
            <w:pPr>
              <w:spacing w:after="0" w:line="256" w:lineRule="auto"/>
              <w:ind w:left="0" w:right="62" w:firstLine="0"/>
              <w:jc w:val="right"/>
            </w:pPr>
            <w:r>
              <w:t xml:space="preserve">463,52 euros </w:t>
            </w:r>
          </w:p>
        </w:tc>
      </w:tr>
      <w:tr w:rsidR="00A257CE">
        <w:tblPrEx>
          <w:tblCellMar>
            <w:top w:w="0" w:type="dxa"/>
            <w:bottom w:w="0" w:type="dxa"/>
          </w:tblCellMar>
        </w:tblPrEx>
        <w:trPr>
          <w:trHeight w:val="300"/>
        </w:trPr>
        <w:tc>
          <w:tcPr>
            <w:tcW w:w="3826"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47" w:type="dxa"/>
            </w:tcMar>
          </w:tcPr>
          <w:p w:rsidR="00A257CE" w:rsidRDefault="0041653A">
            <w:pPr>
              <w:spacing w:after="0" w:line="256" w:lineRule="auto"/>
              <w:ind w:left="0" w:right="0" w:firstLine="0"/>
              <w:jc w:val="left"/>
            </w:pPr>
            <w:r>
              <w:t xml:space="preserve">DN 80 mm: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47" w:type="dxa"/>
            </w:tcMar>
          </w:tcPr>
          <w:p w:rsidR="00A257CE" w:rsidRDefault="0041653A">
            <w:pPr>
              <w:spacing w:after="0" w:line="256" w:lineRule="auto"/>
              <w:ind w:left="0" w:right="62" w:firstLine="0"/>
              <w:jc w:val="right"/>
            </w:pPr>
            <w:r>
              <w:t xml:space="preserve">744,44 euros </w:t>
            </w:r>
          </w:p>
        </w:tc>
      </w:tr>
      <w:tr w:rsidR="00A257CE">
        <w:tblPrEx>
          <w:tblCellMar>
            <w:top w:w="0" w:type="dxa"/>
            <w:bottom w:w="0" w:type="dxa"/>
          </w:tblCellMar>
        </w:tblPrEx>
        <w:trPr>
          <w:trHeight w:val="302"/>
        </w:trPr>
        <w:tc>
          <w:tcPr>
            <w:tcW w:w="3826"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47" w:type="dxa"/>
            </w:tcMar>
          </w:tcPr>
          <w:p w:rsidR="00A257CE" w:rsidRDefault="0041653A">
            <w:pPr>
              <w:spacing w:after="0" w:line="256" w:lineRule="auto"/>
              <w:ind w:left="0" w:right="0" w:firstLine="0"/>
              <w:jc w:val="left"/>
            </w:pPr>
            <w:r>
              <w:t xml:space="preserve">iguales o superiores a DN100mm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47" w:type="dxa"/>
            </w:tcMar>
          </w:tcPr>
          <w:p w:rsidR="00A257CE" w:rsidRDefault="0041653A">
            <w:pPr>
              <w:spacing w:after="0" w:line="256" w:lineRule="auto"/>
              <w:ind w:left="0" w:right="60" w:firstLine="0"/>
              <w:jc w:val="right"/>
            </w:pPr>
            <w:r>
              <w:t xml:space="preserve">1.207,26 euros </w:t>
            </w:r>
          </w:p>
        </w:tc>
      </w:tr>
    </w:tbl>
    <w:p w:rsidR="00A257CE" w:rsidRDefault="0041653A">
      <w:pPr>
        <w:spacing w:after="16" w:line="256" w:lineRule="auto"/>
        <w:ind w:left="1665" w:right="0" w:firstLine="0"/>
        <w:jc w:val="left"/>
      </w:pPr>
      <w:r>
        <w:t xml:space="preserve"> </w:t>
      </w:r>
    </w:p>
    <w:p w:rsidR="00A257CE" w:rsidRDefault="0041653A">
      <w:pPr>
        <w:numPr>
          <w:ilvl w:val="1"/>
          <w:numId w:val="18"/>
        </w:numPr>
        <w:ind w:right="555" w:hanging="389"/>
      </w:pPr>
      <w:r>
        <w:t xml:space="preserve">Si se trata de un contrato o póliza con uso industrial o comercial o </w:t>
      </w:r>
      <w:r>
        <w:t xml:space="preserve">suministro para obras: </w:t>
      </w:r>
    </w:p>
    <w:p w:rsidR="00A257CE" w:rsidRDefault="0041653A">
      <w:pPr>
        <w:spacing w:after="0" w:line="256" w:lineRule="auto"/>
        <w:ind w:left="1665" w:right="0" w:firstLine="0"/>
        <w:jc w:val="left"/>
      </w:pPr>
      <w:r>
        <w:t xml:space="preserve"> </w:t>
      </w:r>
    </w:p>
    <w:tbl>
      <w:tblPr>
        <w:tblW w:w="6378" w:type="dxa"/>
        <w:tblInd w:w="1631" w:type="dxa"/>
        <w:tblCellMar>
          <w:left w:w="10" w:type="dxa"/>
          <w:right w:w="10" w:type="dxa"/>
        </w:tblCellMar>
        <w:tblLook w:val="0000" w:firstRow="0" w:lastRow="0" w:firstColumn="0" w:lastColumn="0" w:noHBand="0" w:noVBand="0"/>
      </w:tblPr>
      <w:tblGrid>
        <w:gridCol w:w="3826"/>
        <w:gridCol w:w="2552"/>
      </w:tblGrid>
      <w:tr w:rsidR="00A257CE">
        <w:tblPrEx>
          <w:tblCellMar>
            <w:top w:w="0" w:type="dxa"/>
            <w:bottom w:w="0" w:type="dxa"/>
          </w:tblCellMar>
        </w:tblPrEx>
        <w:trPr>
          <w:trHeight w:val="302"/>
        </w:trPr>
        <w:tc>
          <w:tcPr>
            <w:tcW w:w="3826"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47" w:type="dxa"/>
            </w:tcMar>
          </w:tcPr>
          <w:p w:rsidR="00A257CE" w:rsidRDefault="0041653A">
            <w:pPr>
              <w:spacing w:after="0" w:line="256" w:lineRule="auto"/>
              <w:ind w:left="0" w:right="0" w:firstLine="0"/>
            </w:pPr>
            <w:r>
              <w:rPr>
                <w:b/>
              </w:rPr>
              <w:t xml:space="preserve">Abonado con contador de calibre: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47" w:type="dxa"/>
            </w:tcMar>
          </w:tcPr>
          <w:p w:rsidR="00A257CE" w:rsidRDefault="0041653A">
            <w:pPr>
              <w:spacing w:after="0" w:line="256" w:lineRule="auto"/>
              <w:ind w:left="0" w:right="60" w:firstLine="0"/>
              <w:jc w:val="center"/>
            </w:pPr>
            <w:r>
              <w:rPr>
                <w:b/>
              </w:rPr>
              <w:t xml:space="preserve">Depósito </w:t>
            </w:r>
          </w:p>
        </w:tc>
      </w:tr>
      <w:tr w:rsidR="00A257CE">
        <w:tblPrEx>
          <w:tblCellMar>
            <w:top w:w="0" w:type="dxa"/>
            <w:bottom w:w="0" w:type="dxa"/>
          </w:tblCellMar>
        </w:tblPrEx>
        <w:trPr>
          <w:trHeight w:val="300"/>
        </w:trPr>
        <w:tc>
          <w:tcPr>
            <w:tcW w:w="3826"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47" w:type="dxa"/>
            </w:tcMar>
          </w:tcPr>
          <w:p w:rsidR="00A257CE" w:rsidRDefault="0041653A">
            <w:pPr>
              <w:spacing w:after="0" w:line="256" w:lineRule="auto"/>
              <w:ind w:left="0" w:right="0" w:firstLine="0"/>
              <w:jc w:val="left"/>
            </w:pPr>
            <w:r>
              <w:t xml:space="preserve">DN 13-15mm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47" w:type="dxa"/>
            </w:tcMar>
          </w:tcPr>
          <w:p w:rsidR="00A257CE" w:rsidRDefault="0041653A">
            <w:pPr>
              <w:spacing w:after="0" w:line="256" w:lineRule="auto"/>
              <w:ind w:left="0" w:right="62" w:firstLine="0"/>
              <w:jc w:val="right"/>
            </w:pPr>
            <w:r>
              <w:t xml:space="preserve">93,15 euros </w:t>
            </w:r>
          </w:p>
        </w:tc>
      </w:tr>
      <w:tr w:rsidR="00A257CE">
        <w:tblPrEx>
          <w:tblCellMar>
            <w:top w:w="0" w:type="dxa"/>
            <w:bottom w:w="0" w:type="dxa"/>
          </w:tblCellMar>
        </w:tblPrEx>
        <w:trPr>
          <w:trHeight w:val="302"/>
        </w:trPr>
        <w:tc>
          <w:tcPr>
            <w:tcW w:w="3826"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47" w:type="dxa"/>
            </w:tcMar>
          </w:tcPr>
          <w:p w:rsidR="00A257CE" w:rsidRDefault="0041653A">
            <w:pPr>
              <w:spacing w:after="0" w:line="256" w:lineRule="auto"/>
              <w:ind w:left="0" w:right="0" w:firstLine="0"/>
              <w:jc w:val="left"/>
            </w:pPr>
            <w:r>
              <w:t xml:space="preserve">DN 20-25mm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47" w:type="dxa"/>
            </w:tcMar>
          </w:tcPr>
          <w:p w:rsidR="00A257CE" w:rsidRDefault="0041653A">
            <w:pPr>
              <w:spacing w:after="0" w:line="256" w:lineRule="auto"/>
              <w:ind w:left="0" w:right="62" w:firstLine="0"/>
              <w:jc w:val="right"/>
            </w:pPr>
            <w:r>
              <w:t xml:space="preserve">156,91 euros </w:t>
            </w:r>
          </w:p>
        </w:tc>
      </w:tr>
      <w:tr w:rsidR="00A257CE">
        <w:tblPrEx>
          <w:tblCellMar>
            <w:top w:w="0" w:type="dxa"/>
            <w:bottom w:w="0" w:type="dxa"/>
          </w:tblCellMar>
        </w:tblPrEx>
        <w:trPr>
          <w:trHeight w:val="301"/>
        </w:trPr>
        <w:tc>
          <w:tcPr>
            <w:tcW w:w="3826"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47" w:type="dxa"/>
            </w:tcMar>
          </w:tcPr>
          <w:p w:rsidR="00A257CE" w:rsidRDefault="0041653A">
            <w:pPr>
              <w:spacing w:after="0" w:line="256" w:lineRule="auto"/>
              <w:ind w:left="0" w:right="0" w:firstLine="0"/>
              <w:jc w:val="left"/>
            </w:pPr>
            <w:r>
              <w:t xml:space="preserve">DN 30-32mm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47" w:type="dxa"/>
            </w:tcMar>
          </w:tcPr>
          <w:p w:rsidR="00A257CE" w:rsidRDefault="0041653A">
            <w:pPr>
              <w:spacing w:after="0" w:line="256" w:lineRule="auto"/>
              <w:ind w:left="0" w:right="62" w:firstLine="0"/>
              <w:jc w:val="right"/>
            </w:pPr>
            <w:r>
              <w:t xml:space="preserve">380,20 euros </w:t>
            </w:r>
          </w:p>
        </w:tc>
      </w:tr>
      <w:tr w:rsidR="00A257CE">
        <w:tblPrEx>
          <w:tblCellMar>
            <w:top w:w="0" w:type="dxa"/>
            <w:bottom w:w="0" w:type="dxa"/>
          </w:tblCellMar>
        </w:tblPrEx>
        <w:trPr>
          <w:trHeight w:val="300"/>
        </w:trPr>
        <w:tc>
          <w:tcPr>
            <w:tcW w:w="3826"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47" w:type="dxa"/>
            </w:tcMar>
          </w:tcPr>
          <w:p w:rsidR="00A257CE" w:rsidRDefault="0041653A">
            <w:pPr>
              <w:spacing w:after="0" w:line="256" w:lineRule="auto"/>
              <w:ind w:left="0" w:right="0" w:firstLine="0"/>
              <w:jc w:val="left"/>
            </w:pPr>
            <w:r>
              <w:t xml:space="preserve">DN 40 mm: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47" w:type="dxa"/>
            </w:tcMar>
          </w:tcPr>
          <w:p w:rsidR="00A257CE" w:rsidRDefault="0041653A">
            <w:pPr>
              <w:spacing w:after="0" w:line="256" w:lineRule="auto"/>
              <w:ind w:left="0" w:right="62" w:firstLine="0"/>
              <w:jc w:val="right"/>
            </w:pPr>
            <w:r>
              <w:t xml:space="preserve">635,39 euros </w:t>
            </w:r>
          </w:p>
        </w:tc>
      </w:tr>
      <w:tr w:rsidR="00A257CE">
        <w:tblPrEx>
          <w:tblCellMar>
            <w:top w:w="0" w:type="dxa"/>
            <w:bottom w:w="0" w:type="dxa"/>
          </w:tblCellMar>
        </w:tblPrEx>
        <w:trPr>
          <w:trHeight w:val="302"/>
        </w:trPr>
        <w:tc>
          <w:tcPr>
            <w:tcW w:w="3826"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47" w:type="dxa"/>
            </w:tcMar>
          </w:tcPr>
          <w:p w:rsidR="00A257CE" w:rsidRDefault="0041653A">
            <w:pPr>
              <w:spacing w:after="0" w:line="256" w:lineRule="auto"/>
              <w:ind w:left="0" w:right="0" w:firstLine="0"/>
              <w:jc w:val="left"/>
            </w:pPr>
            <w:r>
              <w:t xml:space="preserve">DN 50 mm: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47" w:type="dxa"/>
            </w:tcMar>
          </w:tcPr>
          <w:p w:rsidR="00A257CE" w:rsidRDefault="0041653A">
            <w:pPr>
              <w:spacing w:after="0" w:line="256" w:lineRule="auto"/>
              <w:ind w:left="0" w:right="62" w:firstLine="0"/>
              <w:jc w:val="right"/>
            </w:pPr>
            <w:r>
              <w:t xml:space="preserve">954,38 euros </w:t>
            </w:r>
          </w:p>
        </w:tc>
      </w:tr>
      <w:tr w:rsidR="00A257CE">
        <w:tblPrEx>
          <w:tblCellMar>
            <w:top w:w="0" w:type="dxa"/>
            <w:bottom w:w="0" w:type="dxa"/>
          </w:tblCellMar>
        </w:tblPrEx>
        <w:trPr>
          <w:trHeight w:val="300"/>
        </w:trPr>
        <w:tc>
          <w:tcPr>
            <w:tcW w:w="3826"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47" w:type="dxa"/>
            </w:tcMar>
          </w:tcPr>
          <w:p w:rsidR="00A257CE" w:rsidRDefault="0041653A">
            <w:pPr>
              <w:spacing w:after="0" w:line="256" w:lineRule="auto"/>
              <w:ind w:left="0" w:right="0" w:firstLine="0"/>
              <w:jc w:val="left"/>
            </w:pPr>
            <w:r>
              <w:t xml:space="preserve">DN 65 mm: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47" w:type="dxa"/>
            </w:tcMar>
          </w:tcPr>
          <w:p w:rsidR="00A257CE" w:rsidRDefault="0041653A">
            <w:pPr>
              <w:spacing w:after="0" w:line="256" w:lineRule="auto"/>
              <w:ind w:left="0" w:right="60" w:firstLine="0"/>
              <w:jc w:val="right"/>
            </w:pPr>
            <w:r>
              <w:t xml:space="preserve">1.273,37 euros </w:t>
            </w:r>
          </w:p>
        </w:tc>
      </w:tr>
      <w:tr w:rsidR="00A257CE">
        <w:tblPrEx>
          <w:tblCellMar>
            <w:top w:w="0" w:type="dxa"/>
            <w:bottom w:w="0" w:type="dxa"/>
          </w:tblCellMar>
        </w:tblPrEx>
        <w:trPr>
          <w:trHeight w:val="302"/>
        </w:trPr>
        <w:tc>
          <w:tcPr>
            <w:tcW w:w="3826"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47" w:type="dxa"/>
            </w:tcMar>
          </w:tcPr>
          <w:p w:rsidR="00A257CE" w:rsidRDefault="0041653A">
            <w:pPr>
              <w:spacing w:after="0" w:line="256" w:lineRule="auto"/>
              <w:ind w:left="0" w:right="0" w:firstLine="0"/>
              <w:jc w:val="left"/>
            </w:pPr>
            <w:r>
              <w:t xml:space="preserve">DN 80 mm: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47" w:type="dxa"/>
            </w:tcMar>
          </w:tcPr>
          <w:p w:rsidR="00A257CE" w:rsidRDefault="0041653A">
            <w:pPr>
              <w:spacing w:after="0" w:line="256" w:lineRule="auto"/>
              <w:ind w:left="0" w:right="59" w:firstLine="0"/>
              <w:jc w:val="right"/>
            </w:pPr>
            <w:r>
              <w:t>1.911,35 euros</w:t>
            </w:r>
            <w:r>
              <w:t xml:space="preserve"> </w:t>
            </w:r>
          </w:p>
        </w:tc>
      </w:tr>
      <w:tr w:rsidR="00A257CE">
        <w:tblPrEx>
          <w:tblCellMar>
            <w:top w:w="0" w:type="dxa"/>
            <w:bottom w:w="0" w:type="dxa"/>
          </w:tblCellMar>
        </w:tblPrEx>
        <w:trPr>
          <w:trHeight w:val="300"/>
        </w:trPr>
        <w:tc>
          <w:tcPr>
            <w:tcW w:w="3826"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47" w:type="dxa"/>
            </w:tcMar>
          </w:tcPr>
          <w:p w:rsidR="00A257CE" w:rsidRDefault="0041653A">
            <w:pPr>
              <w:spacing w:after="0" w:line="256" w:lineRule="auto"/>
              <w:ind w:left="0" w:right="0" w:firstLine="0"/>
              <w:jc w:val="left"/>
            </w:pPr>
            <w:r>
              <w:t xml:space="preserve">iguales o superiores a DN100mm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0" w:type="dxa"/>
              <w:left w:w="106" w:type="dxa"/>
              <w:bottom w:w="0" w:type="dxa"/>
              <w:right w:w="47" w:type="dxa"/>
            </w:tcMar>
          </w:tcPr>
          <w:p w:rsidR="00A257CE" w:rsidRDefault="0041653A">
            <w:pPr>
              <w:spacing w:after="0" w:line="256" w:lineRule="auto"/>
              <w:ind w:left="0" w:right="60" w:firstLine="0"/>
              <w:jc w:val="right"/>
            </w:pPr>
            <w:r>
              <w:t xml:space="preserve">3.187,29 euros </w:t>
            </w:r>
          </w:p>
        </w:tc>
      </w:tr>
    </w:tbl>
    <w:p w:rsidR="00A257CE" w:rsidRDefault="0041653A">
      <w:pPr>
        <w:spacing w:after="16" w:line="256" w:lineRule="auto"/>
        <w:ind w:left="568" w:right="0" w:firstLine="0"/>
        <w:jc w:val="left"/>
      </w:pPr>
      <w:r>
        <w:t xml:space="preserve"> </w:t>
      </w:r>
    </w:p>
    <w:p w:rsidR="00A257CE" w:rsidRDefault="0041653A">
      <w:pPr>
        <w:numPr>
          <w:ilvl w:val="0"/>
          <w:numId w:val="5"/>
        </w:numPr>
        <w:spacing w:after="29" w:line="247" w:lineRule="auto"/>
        <w:ind w:left="1323" w:right="554" w:hanging="770"/>
      </w:pPr>
      <w:r>
        <w:rPr>
          <w:b/>
        </w:rPr>
        <w:t xml:space="preserve">Cambio de titularidad. </w:t>
      </w:r>
    </w:p>
    <w:p w:rsidR="00A257CE" w:rsidRDefault="0041653A">
      <w:pPr>
        <w:ind w:left="1283" w:right="555"/>
      </w:pPr>
      <w:r>
        <w:t xml:space="preserve">1. En los casos en que la solicitud de cambio de titularidad conlleve un cambio en la calificación del uso o de la acometida, no podrá autorizarse el mismo, siendo </w:t>
      </w:r>
      <w:r>
        <w:lastRenderedPageBreak/>
        <w:t xml:space="preserve">preceptiva la </w:t>
      </w:r>
      <w:r>
        <w:t xml:space="preserve">baja del abonado y el alta del nuevo titular. A estos importes habría que sumarles los derivados del presupuesto de adecuación de la instalación, si procede. Las tarifas a aplicar son las siguientes </w:t>
      </w:r>
    </w:p>
    <w:p w:rsidR="00A257CE" w:rsidRDefault="0041653A">
      <w:pPr>
        <w:numPr>
          <w:ilvl w:val="1"/>
          <w:numId w:val="19"/>
        </w:numPr>
        <w:ind w:right="555" w:hanging="432"/>
      </w:pPr>
      <w:r>
        <w:t>Si se trata de un cambio en un contrato o póliza con uso</w:t>
      </w:r>
      <w:r>
        <w:t xml:space="preserve"> doméstico 10,60 euros  </w:t>
      </w:r>
    </w:p>
    <w:p w:rsidR="00A257CE" w:rsidRDefault="0041653A">
      <w:pPr>
        <w:numPr>
          <w:ilvl w:val="1"/>
          <w:numId w:val="19"/>
        </w:numPr>
        <w:ind w:right="555" w:hanging="432"/>
      </w:pPr>
      <w:r>
        <w:t xml:space="preserve">Si se trata de un cambio en un contrato o póliza con uso industrial o comercial 14,45 euros  </w:t>
      </w:r>
    </w:p>
    <w:p w:rsidR="00A257CE" w:rsidRDefault="0041653A">
      <w:pPr>
        <w:spacing w:after="19" w:line="256" w:lineRule="auto"/>
        <w:ind w:left="852" w:right="0" w:firstLine="0"/>
        <w:jc w:val="left"/>
      </w:pPr>
      <w:r>
        <w:rPr>
          <w:b/>
        </w:rPr>
        <w:t xml:space="preserve"> </w:t>
      </w:r>
    </w:p>
    <w:p w:rsidR="00A257CE" w:rsidRDefault="0041653A">
      <w:pPr>
        <w:numPr>
          <w:ilvl w:val="0"/>
          <w:numId w:val="5"/>
        </w:numPr>
        <w:spacing w:after="29" w:line="247" w:lineRule="auto"/>
        <w:ind w:left="1323" w:right="554" w:hanging="770"/>
      </w:pPr>
      <w:r>
        <w:rPr>
          <w:b/>
        </w:rPr>
        <w:t xml:space="preserve">Reenganche por impago. </w:t>
      </w:r>
    </w:p>
    <w:p w:rsidR="00A257CE" w:rsidRDefault="0041653A">
      <w:pPr>
        <w:ind w:left="913" w:right="555" w:firstLine="0"/>
      </w:pPr>
      <w:r>
        <w:t>1. En los casos de suspensión de suministro por el impago del cliente cuando este no haya satisfecho el importe</w:t>
      </w:r>
      <w:r>
        <w:t xml:space="preserve"> de los servicios conforme a lo estipulado en el contrato de suministro o póliza de abono, la cuantía a abonar para el restablecimiento del suministro será de 62,70€  </w:t>
      </w:r>
    </w:p>
    <w:p w:rsidR="00A257CE" w:rsidRDefault="0041653A">
      <w:pPr>
        <w:spacing w:after="38" w:line="256" w:lineRule="auto"/>
        <w:ind w:left="852" w:right="0" w:firstLine="0"/>
        <w:jc w:val="left"/>
      </w:pPr>
      <w:r>
        <w:rPr>
          <w:b/>
        </w:rPr>
        <w:t xml:space="preserve"> </w:t>
      </w:r>
    </w:p>
    <w:p w:rsidR="00A257CE" w:rsidRDefault="0041653A">
      <w:pPr>
        <w:numPr>
          <w:ilvl w:val="0"/>
          <w:numId w:val="5"/>
        </w:numPr>
        <w:spacing w:after="29" w:line="247" w:lineRule="auto"/>
        <w:ind w:left="1323" w:right="554" w:hanging="770"/>
      </w:pPr>
      <w:r>
        <w:rPr>
          <w:b/>
        </w:rPr>
        <w:t xml:space="preserve">Gestión. </w:t>
      </w:r>
    </w:p>
    <w:p w:rsidR="00A257CE" w:rsidRDefault="0041653A">
      <w:pPr>
        <w:numPr>
          <w:ilvl w:val="4"/>
          <w:numId w:val="20"/>
        </w:numPr>
        <w:ind w:right="555" w:hanging="348"/>
      </w:pPr>
      <w:r>
        <w:t>La prestación patrimonial de carácter no tributario se exigirá, con carácter</w:t>
      </w:r>
      <w:r>
        <w:t xml:space="preserve"> general, y una vez de alta en el registro de contribuyentes, por el sistema de padrón en el que figurarán todos aquellos sujetos a la misma. </w:t>
      </w:r>
    </w:p>
    <w:p w:rsidR="00A257CE" w:rsidRDefault="0041653A">
      <w:pPr>
        <w:numPr>
          <w:ilvl w:val="4"/>
          <w:numId w:val="20"/>
        </w:numPr>
        <w:ind w:right="555" w:hanging="348"/>
      </w:pPr>
      <w:r>
        <w:t xml:space="preserve">El pago de la prestación patrimonial de carácter no tributario mediante padrón se realizará por bimestres, en el </w:t>
      </w:r>
      <w:r>
        <w:t xml:space="preserve">período de cobranza que el Ayuntamiento determine, por los medios previstos por la legislación y que se estimen más convenientes. </w:t>
      </w:r>
    </w:p>
    <w:p w:rsidR="00A257CE" w:rsidRDefault="0041653A">
      <w:pPr>
        <w:numPr>
          <w:ilvl w:val="4"/>
          <w:numId w:val="20"/>
        </w:numPr>
        <w:ind w:right="555" w:hanging="348"/>
      </w:pPr>
      <w:r>
        <w:t>Una vez notificada la liquidación correspondiente al alta en el servicio, las notificaciones de los padrones se realizarán co</w:t>
      </w:r>
      <w:r>
        <w:t xml:space="preserve">lectivamente, mediante anuncio en el Boletín Oficial de la Provincia y producirá los efectos de notificación de la liquidación a cada uno de los sujetos pasivos en él incluidos. </w:t>
      </w:r>
    </w:p>
    <w:p w:rsidR="00A257CE" w:rsidRDefault="0041653A">
      <w:pPr>
        <w:spacing w:after="38" w:line="256" w:lineRule="auto"/>
        <w:ind w:left="568" w:right="0" w:firstLine="0"/>
        <w:jc w:val="left"/>
      </w:pPr>
      <w:r>
        <w:rPr>
          <w:b/>
        </w:rPr>
        <w:t xml:space="preserve"> </w:t>
      </w:r>
    </w:p>
    <w:p w:rsidR="00A257CE" w:rsidRDefault="0041653A">
      <w:pPr>
        <w:numPr>
          <w:ilvl w:val="0"/>
          <w:numId w:val="5"/>
        </w:numPr>
        <w:spacing w:after="29" w:line="247" w:lineRule="auto"/>
        <w:ind w:left="1323" w:right="554" w:hanging="770"/>
      </w:pPr>
      <w:r>
        <w:rPr>
          <w:b/>
        </w:rPr>
        <w:t xml:space="preserve">Reanudación o rehabilitación de la conexión </w:t>
      </w:r>
    </w:p>
    <w:p w:rsidR="00A257CE" w:rsidRDefault="0041653A">
      <w:pPr>
        <w:numPr>
          <w:ilvl w:val="4"/>
          <w:numId w:val="21"/>
        </w:numPr>
        <w:ind w:right="555" w:hanging="348"/>
      </w:pPr>
      <w:r>
        <w:t>Para llevar a efecto la reanud</w:t>
      </w:r>
      <w:r>
        <w:t>ación o rehabilitación de una conexión dada la baja, será preciso que el anterior titular haya causado la misma voluntariamente. En el caso de inhabilitación de la conexión por corte del suministro, será requisito indispensable para su rehabilitación o rea</w:t>
      </w:r>
      <w:r>
        <w:t>nudación la liquidación de los recibos pendientes de pago, el abono de los trabajos de corte y reanudación del servicio según los precios unitarios aprobados por el Ayuntamiento y la constitución del depósito correspondiente, si no estuviese previamente co</w:t>
      </w:r>
      <w:r>
        <w:t xml:space="preserve">nstituido. </w:t>
      </w:r>
    </w:p>
    <w:p w:rsidR="00A257CE" w:rsidRDefault="0041653A">
      <w:pPr>
        <w:numPr>
          <w:ilvl w:val="4"/>
          <w:numId w:val="21"/>
        </w:numPr>
        <w:ind w:right="555" w:hanging="348"/>
      </w:pPr>
      <w:r>
        <w:t>Si la reanudación de la conexión se efectúa a favor de un abonado distinto al anterior titular, aquél deberá suscribir la póliza correspondiente previo abono de los trabajos de reanudación del servicio, del precio de la conexión, y de constituc</w:t>
      </w:r>
      <w:r>
        <w:t xml:space="preserve">ión del depósito correspondiente, no así de los trabajos y suministros que no sean necesarios por existir previamente la instalación requerida con arreglo a la normativa vigente en cada momento. </w:t>
      </w:r>
    </w:p>
    <w:p w:rsidR="00A257CE" w:rsidRDefault="0041653A">
      <w:pPr>
        <w:spacing w:after="36" w:line="256" w:lineRule="auto"/>
        <w:ind w:left="568" w:right="0" w:firstLine="0"/>
        <w:jc w:val="left"/>
      </w:pPr>
      <w:r>
        <w:t xml:space="preserve"> </w:t>
      </w:r>
    </w:p>
    <w:p w:rsidR="00A257CE" w:rsidRDefault="0041653A">
      <w:pPr>
        <w:numPr>
          <w:ilvl w:val="0"/>
          <w:numId w:val="5"/>
        </w:numPr>
        <w:spacing w:after="29" w:line="247" w:lineRule="auto"/>
        <w:ind w:left="1323" w:right="554" w:hanging="770"/>
      </w:pPr>
      <w:r>
        <w:rPr>
          <w:b/>
        </w:rPr>
        <w:t xml:space="preserve">Bajas por suspensión prolongada. </w:t>
      </w:r>
    </w:p>
    <w:p w:rsidR="00A257CE" w:rsidRDefault="0041653A">
      <w:pPr>
        <w:ind w:left="1283" w:right="555"/>
      </w:pPr>
      <w:r>
        <w:t>1. El contrato de sumini</w:t>
      </w:r>
      <w:r>
        <w:t xml:space="preserve">stro de agua quedará sin efecto por cualquiera de las causas siguientes: </w:t>
      </w:r>
    </w:p>
    <w:p w:rsidR="00A257CE" w:rsidRDefault="0041653A">
      <w:pPr>
        <w:numPr>
          <w:ilvl w:val="1"/>
          <w:numId w:val="22"/>
        </w:numPr>
        <w:ind w:right="555" w:hanging="432"/>
      </w:pPr>
      <w:r>
        <w:lastRenderedPageBreak/>
        <w:t xml:space="preserve">A petición del abonado del servicio. </w:t>
      </w:r>
    </w:p>
    <w:p w:rsidR="00A257CE" w:rsidRDefault="0041653A">
      <w:pPr>
        <w:numPr>
          <w:ilvl w:val="1"/>
          <w:numId w:val="22"/>
        </w:numPr>
        <w:ind w:right="555" w:hanging="432"/>
      </w:pPr>
      <w:r>
        <w:t xml:space="preserve">Por resolución del Servicio Municipal de Aguas, en los siguientes casos: </w:t>
      </w:r>
    </w:p>
    <w:p w:rsidR="00A257CE" w:rsidRDefault="0041653A">
      <w:pPr>
        <w:numPr>
          <w:ilvl w:val="2"/>
          <w:numId w:val="23"/>
        </w:numPr>
        <w:ind w:left="2270" w:right="555" w:hanging="569"/>
      </w:pPr>
      <w:r>
        <w:t xml:space="preserve">Por persistencia durante más de 6 meses tras la de suspensión de </w:t>
      </w:r>
      <w:r>
        <w:t xml:space="preserve">suministro. </w:t>
      </w:r>
    </w:p>
    <w:p w:rsidR="00A257CE" w:rsidRDefault="0041653A">
      <w:pPr>
        <w:numPr>
          <w:ilvl w:val="2"/>
          <w:numId w:val="23"/>
        </w:numPr>
        <w:ind w:left="2270" w:right="555" w:hanging="569"/>
      </w:pPr>
      <w:r>
        <w:t xml:space="preserve">Por incumplimiento de los términos o condiciones fijadas en el contrato del suministro.  </w:t>
      </w:r>
    </w:p>
    <w:p w:rsidR="00A257CE" w:rsidRDefault="0041653A">
      <w:pPr>
        <w:numPr>
          <w:ilvl w:val="2"/>
          <w:numId w:val="23"/>
        </w:numPr>
        <w:spacing w:after="16" w:line="256" w:lineRule="auto"/>
        <w:ind w:left="2270" w:right="555" w:hanging="569"/>
      </w:pPr>
      <w:r>
        <w:t xml:space="preserve">Por utilización del suministro sin ser el titular contractual del mismo.  </w:t>
      </w:r>
    </w:p>
    <w:p w:rsidR="00A257CE" w:rsidRDefault="0041653A">
      <w:pPr>
        <w:numPr>
          <w:ilvl w:val="2"/>
          <w:numId w:val="23"/>
        </w:numPr>
        <w:ind w:left="2270" w:right="555" w:hanging="569"/>
      </w:pPr>
      <w:r>
        <w:t>Por incumplimiento de las obligaciones relativas a la reserva de agua y su cor</w:t>
      </w:r>
      <w:r>
        <w:t xml:space="preserve">recto funcionamiento. </w:t>
      </w:r>
    </w:p>
    <w:p w:rsidR="00A257CE" w:rsidRDefault="0041653A">
      <w:pPr>
        <w:ind w:left="1283" w:right="555"/>
      </w:pPr>
      <w:r>
        <w:t>2. La reanudación del suministro después de haberse extinguido el contrato por cualquiera de las causas señaladas anteriormente, sólo podrá efectuarse mediante nueva solicitud, suscripción de nuevo contrato y pago de los derechos cor</w:t>
      </w:r>
      <w:r>
        <w:t xml:space="preserve">respondientes. </w:t>
      </w:r>
    </w:p>
    <w:p w:rsidR="00A257CE" w:rsidRDefault="0041653A">
      <w:pPr>
        <w:spacing w:after="36" w:line="256" w:lineRule="auto"/>
        <w:ind w:left="568" w:right="0" w:firstLine="0"/>
        <w:jc w:val="left"/>
      </w:pPr>
      <w:r>
        <w:t xml:space="preserve"> </w:t>
      </w:r>
    </w:p>
    <w:p w:rsidR="00A257CE" w:rsidRDefault="0041653A">
      <w:pPr>
        <w:numPr>
          <w:ilvl w:val="0"/>
          <w:numId w:val="5"/>
        </w:numPr>
        <w:spacing w:after="29" w:line="247" w:lineRule="auto"/>
        <w:ind w:left="1323" w:right="554" w:hanging="770"/>
      </w:pPr>
      <w:r>
        <w:rPr>
          <w:b/>
        </w:rPr>
        <w:t xml:space="preserve">Infracciones y sanciones. </w:t>
      </w:r>
    </w:p>
    <w:p w:rsidR="00A257CE" w:rsidRDefault="0041653A">
      <w:pPr>
        <w:ind w:left="1144" w:right="555"/>
      </w:pPr>
      <w:r>
        <w:t xml:space="preserve">1. En todo lo referente a infracciones y sanciones, será de aplicación la Ley 58/2003, de 17 de diciembre, General Tributaria, en concreto los artículos 183 y siguientes, y las disposiciones que la desarrollen. </w:t>
      </w:r>
    </w:p>
    <w:p w:rsidR="00A257CE" w:rsidRDefault="0041653A">
      <w:pPr>
        <w:spacing w:after="36" w:line="256" w:lineRule="auto"/>
        <w:ind w:left="568" w:right="0" w:firstLine="0"/>
        <w:jc w:val="left"/>
      </w:pPr>
      <w:r>
        <w:rPr>
          <w:b/>
        </w:rPr>
        <w:t xml:space="preserve"> </w:t>
      </w:r>
    </w:p>
    <w:p w:rsidR="00A257CE" w:rsidRDefault="0041653A">
      <w:pPr>
        <w:tabs>
          <w:tab w:val="center" w:pos="721"/>
          <w:tab w:val="center" w:pos="2505"/>
        </w:tabs>
        <w:spacing w:after="29" w:line="247" w:lineRule="auto"/>
        <w:ind w:left="0" w:right="0" w:firstLine="0"/>
        <w:jc w:val="left"/>
      </w:pPr>
      <w:r>
        <w:rPr>
          <w:rFonts w:ascii="Calibri" w:eastAsia="Calibri" w:hAnsi="Calibri" w:cs="Calibri"/>
        </w:rPr>
        <w:tab/>
      </w:r>
      <w:r>
        <w:rPr>
          <w:b/>
        </w:rPr>
        <w:t xml:space="preserve">15. </w:t>
      </w:r>
      <w:r>
        <w:rPr>
          <w:b/>
        </w:rPr>
        <w:tab/>
        <w:t xml:space="preserve">Concesión del servicio. </w:t>
      </w:r>
    </w:p>
    <w:p w:rsidR="00A257CE" w:rsidRDefault="0041653A">
      <w:pPr>
        <w:numPr>
          <w:ilvl w:val="1"/>
          <w:numId w:val="24"/>
        </w:numPr>
        <w:ind w:right="555" w:hanging="360"/>
      </w:pPr>
      <w:r>
        <w:t xml:space="preserve">La concesión del servicio se otorgará mediante acto administrativo y quedará sujeto a las disposiciones de la presente Ordenanza y las que se fijasen en el oportuno contrato. Será por tiempo indefinido en tanto las partes </w:t>
      </w:r>
      <w:r>
        <w:t xml:space="preserve">no manifiesten por escrito, su voluntad de rescindir el contrato y por parte del suministrador se cumplan las condiciones prescritas en esta Ordenanza y el contrato que queda dicho. </w:t>
      </w:r>
    </w:p>
    <w:p w:rsidR="00A257CE" w:rsidRDefault="0041653A">
      <w:pPr>
        <w:numPr>
          <w:ilvl w:val="1"/>
          <w:numId w:val="24"/>
        </w:numPr>
        <w:ind w:right="555" w:hanging="360"/>
      </w:pPr>
      <w:r>
        <w:t xml:space="preserve">Las concesiones se clasifican en: </w:t>
      </w:r>
    </w:p>
    <w:p w:rsidR="00A257CE" w:rsidRDefault="0041653A">
      <w:pPr>
        <w:ind w:left="1700" w:right="555" w:hanging="432"/>
      </w:pPr>
      <w:r>
        <w:t>2.1. Para usos domésticos, es decir, p</w:t>
      </w:r>
      <w:r>
        <w:t xml:space="preserve">ara atender a las necesidades de la vida e higiene privada. </w:t>
      </w:r>
    </w:p>
    <w:p w:rsidR="00A257CE" w:rsidRDefault="0041653A">
      <w:pPr>
        <w:ind w:left="1700" w:right="555" w:hanging="432"/>
      </w:pPr>
      <w:r>
        <w:t xml:space="preserve">2.2. Para usos industriales o comerciales, considerándose dentro de éstos, los hoteles, bares, tabernas, garajes, establos, fábricas, colegios, etc. </w:t>
      </w:r>
    </w:p>
    <w:p w:rsidR="00A257CE" w:rsidRDefault="0041653A">
      <w:pPr>
        <w:ind w:left="1268" w:right="555" w:firstLine="0"/>
      </w:pPr>
      <w:r>
        <w:t xml:space="preserve">2.3. Para usos oficiales. </w:t>
      </w:r>
    </w:p>
    <w:p w:rsidR="00A257CE" w:rsidRDefault="0041653A">
      <w:pPr>
        <w:spacing w:after="16" w:line="256" w:lineRule="auto"/>
        <w:ind w:left="567" w:right="0" w:firstLine="0"/>
        <w:jc w:val="left"/>
      </w:pPr>
      <w:r>
        <w:t xml:space="preserve"> </w:t>
      </w:r>
    </w:p>
    <w:p w:rsidR="00A257CE" w:rsidRDefault="0041653A">
      <w:pPr>
        <w:spacing w:after="29" w:line="247" w:lineRule="auto"/>
        <w:ind w:left="563" w:right="554" w:hanging="10"/>
      </w:pPr>
      <w:r>
        <w:rPr>
          <w:b/>
        </w:rPr>
        <w:t xml:space="preserve">Disposición </w:t>
      </w:r>
      <w:r>
        <w:rPr>
          <w:b/>
        </w:rPr>
        <w:t xml:space="preserve">final única. </w:t>
      </w:r>
    </w:p>
    <w:p w:rsidR="00A257CE" w:rsidRDefault="0041653A">
      <w:pPr>
        <w:ind w:left="567" w:right="555" w:firstLine="0"/>
      </w:pPr>
      <w:r>
        <w:t>La presente Ordenanza no fiscal, aprobada por el Pleno de la Corporación y una vez que ha quedado definitivamente aprobada, entrará en vigor al día siguiente al de publicación en el Boletín Oficial de la Provincia y regirá hasta su modificaci</w:t>
      </w:r>
      <w:r>
        <w:t xml:space="preserve">ón o derogación expresa.” </w:t>
      </w:r>
    </w:p>
    <w:p w:rsidR="00A257CE" w:rsidRDefault="0041653A">
      <w:pPr>
        <w:spacing w:after="0" w:line="256" w:lineRule="auto"/>
        <w:ind w:left="568" w:right="0" w:firstLine="0"/>
        <w:jc w:val="left"/>
      </w:pPr>
      <w:r>
        <w:rPr>
          <w:sz w:val="24"/>
        </w:rPr>
        <w:t xml:space="preserve"> </w:t>
      </w:r>
    </w:p>
    <w:p w:rsidR="00A257CE" w:rsidRDefault="0041653A">
      <w:pPr>
        <w:spacing w:after="0" w:line="240" w:lineRule="auto"/>
        <w:ind w:left="568" w:right="567" w:firstLine="0"/>
      </w:pPr>
      <w:r>
        <w:rPr>
          <w:b/>
          <w:sz w:val="24"/>
        </w:rPr>
        <w:t>Tercero:</w:t>
      </w:r>
      <w:r>
        <w:rPr>
          <w:sz w:val="24"/>
        </w:rPr>
        <w:t xml:space="preserve"> Publicar el contenido íntegro de la presente Ordenanza en el Boletín Oficial de la Provincia que entrará en vigor al día siguiente al de publicación en el Boletín Oficial de la Provincia”. </w:t>
      </w:r>
    </w:p>
    <w:p w:rsidR="00A257CE" w:rsidRDefault="0041653A">
      <w:pPr>
        <w:spacing w:after="98" w:line="256" w:lineRule="auto"/>
        <w:ind w:left="568" w:right="0" w:firstLine="0"/>
        <w:jc w:val="left"/>
      </w:pPr>
      <w:r>
        <w:rPr>
          <w:b/>
        </w:rPr>
        <w:t xml:space="preserve"> </w:t>
      </w:r>
    </w:p>
    <w:p w:rsidR="00A257CE" w:rsidRDefault="0041653A">
      <w:pPr>
        <w:spacing w:after="100" w:line="256" w:lineRule="auto"/>
        <w:ind w:left="4" w:right="0" w:firstLine="0"/>
        <w:jc w:val="center"/>
      </w:pPr>
      <w:r>
        <w:rPr>
          <w:b/>
        </w:rPr>
        <w:t xml:space="preserve">RÉGIMEN DE RECURSOS </w:t>
      </w:r>
    </w:p>
    <w:p w:rsidR="00A257CE" w:rsidRDefault="0041653A">
      <w:pPr>
        <w:spacing w:after="98" w:line="256" w:lineRule="auto"/>
        <w:ind w:left="61" w:right="0" w:firstLine="0"/>
        <w:jc w:val="center"/>
      </w:pPr>
      <w:r>
        <w:rPr>
          <w:b/>
        </w:rPr>
        <w:t xml:space="preserve"> </w:t>
      </w:r>
    </w:p>
    <w:p w:rsidR="00A257CE" w:rsidRDefault="0041653A">
      <w:pPr>
        <w:spacing w:after="112" w:line="247" w:lineRule="auto"/>
        <w:ind w:left="563" w:right="554" w:hanging="10"/>
      </w:pPr>
      <w:r>
        <w:rPr>
          <w:b/>
        </w:rPr>
        <w:lastRenderedPageBreak/>
        <w:t>Contra el presente Acuerdo que pone fin a la vía administrativa, puede interponer recurso contencioso-administrativo ante la Sala de lo Contencioso Administrativo del Tribunal Superior de Justicia de Canarias en el plazo de dos meses, a contar desde el día</w:t>
      </w:r>
      <w:r>
        <w:rPr>
          <w:b/>
        </w:rPr>
        <w:t xml:space="preserve"> siguiente al de SU PUBLICACIÓN, de conformidad con el artículo 46 de la Ley 29/1998, de 13 de julio, de la Jurisdicción Contencioso-Administrativa. </w:t>
      </w:r>
    </w:p>
    <w:p w:rsidR="00A257CE" w:rsidRDefault="0041653A">
      <w:pPr>
        <w:spacing w:after="98" w:line="256" w:lineRule="auto"/>
        <w:ind w:left="568" w:right="0" w:firstLine="0"/>
        <w:jc w:val="left"/>
      </w:pPr>
      <w:r>
        <w:rPr>
          <w:b/>
        </w:rPr>
        <w:t xml:space="preserve"> </w:t>
      </w:r>
    </w:p>
    <w:p w:rsidR="00A257CE" w:rsidRDefault="0041653A">
      <w:pPr>
        <w:spacing w:after="595" w:line="247" w:lineRule="auto"/>
        <w:ind w:left="563" w:right="554" w:hanging="10"/>
      </w:pPr>
      <w:r>
        <w:rPr>
          <w:b/>
        </w:rPr>
        <w:t>Todo lo cual se publica por el Secretario General, en virtud de la función de fe pública del artículo 3.</w:t>
      </w:r>
      <w:r>
        <w:rPr>
          <w:b/>
        </w:rPr>
        <w:t xml:space="preserve">2 j) del Real Decreto 128/2018, de 16 de marzo, de régimen jurídico de los funcionarios de Administración local con habilitación de carácter nacional. </w:t>
      </w:r>
    </w:p>
    <w:p w:rsidR="00A257CE" w:rsidRDefault="0041653A">
      <w:pPr>
        <w:spacing w:after="278" w:line="256" w:lineRule="auto"/>
        <w:ind w:left="137" w:right="0" w:hanging="10"/>
        <w:jc w:val="left"/>
      </w:pPr>
      <w:r>
        <w:rPr>
          <w:rFonts w:ascii="Times New Roman" w:eastAsia="Times New Roman" w:hAnsi="Times New Roman" w:cs="Times New Roman"/>
          <w:color w:val="181717"/>
        </w:rPr>
        <w:t>Villa de Candelaria, a diez de enero de dos mil veinticinco.</w:t>
      </w:r>
    </w:p>
    <w:p w:rsidR="00A257CE" w:rsidRDefault="0041653A">
      <w:pPr>
        <w:spacing w:after="278" w:line="256" w:lineRule="auto"/>
        <w:ind w:left="137" w:right="0" w:hanging="10"/>
        <w:jc w:val="left"/>
      </w:pPr>
      <w:r>
        <w:rPr>
          <w:rFonts w:ascii="Times New Roman" w:eastAsia="Times New Roman" w:hAnsi="Times New Roman" w:cs="Times New Roman"/>
          <w:color w:val="181717"/>
        </w:rPr>
        <w:t>EL SECRETARIO, Octavio Manuel Fernández Her</w:t>
      </w:r>
      <w:r>
        <w:rPr>
          <w:rFonts w:ascii="Times New Roman" w:eastAsia="Times New Roman" w:hAnsi="Times New Roman" w:cs="Times New Roman"/>
          <w:color w:val="181717"/>
        </w:rPr>
        <w:t>nández, documento firmado electrónicamente.</w:t>
      </w:r>
    </w:p>
    <w:sectPr w:rsidR="00A257CE">
      <w:headerReference w:type="even" r:id="rId7"/>
      <w:headerReference w:type="default" r:id="rId8"/>
      <w:pgSz w:w="11906" w:h="16838"/>
      <w:pgMar w:top="2069" w:right="1134" w:bottom="1393" w:left="1134" w:header="1144" w:footer="720" w:gutter="0"/>
      <w:pgNumType w:start="1374"/>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53A" w:rsidRDefault="0041653A">
      <w:pPr>
        <w:spacing w:after="0" w:line="240" w:lineRule="auto"/>
      </w:pPr>
      <w:r>
        <w:separator/>
      </w:r>
    </w:p>
  </w:endnote>
  <w:endnote w:type="continuationSeparator" w:id="0">
    <w:p w:rsidR="0041653A" w:rsidRDefault="00416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53A" w:rsidRDefault="0041653A">
      <w:pPr>
        <w:spacing w:after="0" w:line="240" w:lineRule="auto"/>
      </w:pPr>
      <w:r>
        <w:separator/>
      </w:r>
    </w:p>
  </w:footnote>
  <w:footnote w:type="continuationSeparator" w:id="0">
    <w:p w:rsidR="0041653A" w:rsidRDefault="00416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F7E" w:rsidRDefault="0041653A">
    <w:pPr>
      <w:tabs>
        <w:tab w:val="right" w:pos="9638"/>
      </w:tabs>
      <w:spacing w:after="0" w:line="256" w:lineRule="auto"/>
      <w:ind w:left="0" w:right="0" w:firstLine="0"/>
      <w:jc w:val="left"/>
    </w:pPr>
    <w:r>
      <w:rPr>
        <w:rFonts w:ascii="Calibri" w:eastAsia="Calibri" w:hAnsi="Calibri" w:cs="Calibri"/>
        <w:noProof/>
      </w:rPr>
      <mc:AlternateContent>
        <mc:Choice Requires="wps">
          <w:drawing>
            <wp:anchor distT="0" distB="0" distL="114300" distR="114300" simplePos="0" relativeHeight="251659264" behindDoc="0" locked="0" layoutInCell="1" allowOverlap="1">
              <wp:simplePos x="0" y="0"/>
              <wp:positionH relativeFrom="column">
                <wp:posOffset>503998</wp:posOffset>
              </wp:positionH>
              <wp:positionV relativeFrom="paragraph">
                <wp:posOffset>726353</wp:posOffset>
              </wp:positionV>
              <wp:extent cx="6552005" cy="0"/>
              <wp:effectExtent l="0" t="0" r="20245" b="19050"/>
              <wp:wrapSquare wrapText="bothSides"/>
              <wp:docPr id="3" name="Group 17025"/>
              <wp:cNvGraphicFramePr/>
              <a:graphic xmlns:a="http://schemas.openxmlformats.org/drawingml/2006/main">
                <a:graphicData uri="http://schemas.microsoft.com/office/word/2010/wordprocessingShape">
                  <wps:wsp>
                    <wps:cNvSpPr/>
                    <wps:spPr>
                      <a:xfrm>
                        <a:off x="0" y="0"/>
                        <a:ext cx="6552005" cy="0"/>
                      </a:xfrm>
                      <a:custGeom>
                        <a:avLst/>
                        <a:gdLst>
                          <a:gd name="f0" fmla="val w"/>
                          <a:gd name="f1" fmla="val h"/>
                          <a:gd name="f2" fmla="val 0"/>
                          <a:gd name="f3" fmla="val 6551930"/>
                          <a:gd name="f4" fmla="*/ f0 1 6551930"/>
                          <a:gd name="f5" fmla="*/ f1 1 0"/>
                          <a:gd name="f6" fmla="val f2"/>
                          <a:gd name="f7" fmla="val f3"/>
                          <a:gd name="f8" fmla="+- f6 0 f6"/>
                          <a:gd name="f9" fmla="+- f7 0 f6"/>
                          <a:gd name="f10" fmla="*/ f9 1 6551930"/>
                          <a:gd name="f11" fmla="*/ f8 1 0"/>
                          <a:gd name="f12" fmla="*/ 0 1 f10"/>
                          <a:gd name="f13" fmla="*/ 6551930 1 f10"/>
                          <a:gd name="f14" fmla="*/ 0 1 f11"/>
                          <a:gd name="f15" fmla="*/ f12 f4 1"/>
                          <a:gd name="f16" fmla="*/ f13 f4 1"/>
                          <a:gd name="f17" fmla="*/ f14 f5 1"/>
                        </a:gdLst>
                        <a:ahLst/>
                        <a:cxnLst>
                          <a:cxn ang="3cd4">
                            <a:pos x="hc" y="t"/>
                          </a:cxn>
                          <a:cxn ang="0">
                            <a:pos x="r" y="vc"/>
                          </a:cxn>
                          <a:cxn ang="cd4">
                            <a:pos x="hc" y="b"/>
                          </a:cxn>
                          <a:cxn ang="cd2">
                            <a:pos x="l" y="vc"/>
                          </a:cxn>
                        </a:cxnLst>
                        <a:rect l="f15" t="f17" r="f16" b="f17"/>
                        <a:pathLst>
                          <a:path w="6551930">
                            <a:moveTo>
                              <a:pt x="f2" y="f2"/>
                            </a:moveTo>
                            <a:lnTo>
                              <a:pt x="f3" y="f2"/>
                            </a:lnTo>
                          </a:path>
                        </a:pathLst>
                      </a:custGeom>
                      <a:noFill/>
                      <a:ln w="12701" cap="flat">
                        <a:solidFill>
                          <a:srgbClr val="181717"/>
                        </a:solidFill>
                        <a:prstDash val="solid"/>
                        <a:miter/>
                      </a:ln>
                    </wps:spPr>
                    <wps:bodyPr lIns="0" tIns="0" rIns="0" bIns="0"/>
                  </wps:wsp>
                </a:graphicData>
              </a:graphic>
            </wp:anchor>
          </w:drawing>
        </mc:Choice>
        <mc:Fallback>
          <w:pict>
            <v:shape w14:anchorId="56440ABB" id="Group 17025" o:spid="_x0000_s1026" style="position:absolute;margin-left:39.7pt;margin-top:57.2pt;width:515.9pt;height:0;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6551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" path="m,l6551930,e" filled="f" strokecolor="#181717" strokeweight=".35281mm">
              <v:stroke joinstyle="miter"/>
              <v:path arrowok="t" o:connecttype="custom" o:connectlocs="3276003,0;6552005,1;3276003,1;0,1" o:connectangles="270,0,90,180" textboxrect="0,0,6551930,0"/>
              <w10:wrap type="square"/>
            </v:shape>
          </w:pict>
        </mc:Fallback>
      </mc:AlternateContent>
    </w:r>
    <w:r>
      <w:rPr>
        <w:rFonts w:ascii="Calibri" w:eastAsia="Calibri" w:hAnsi="Calibri" w:cs="Calibri"/>
        <w:noProof/>
      </w:rPr>
      <mc:AlternateContent>
        <mc:Choice Requires="wps">
          <w:drawing>
            <wp:anchor distT="0" distB="0" distL="114300" distR="114300" simplePos="0" relativeHeight="251660288" behindDoc="0" locked="0" layoutInCell="1" allowOverlap="1">
              <wp:simplePos x="0" y="0"/>
              <wp:positionH relativeFrom="column">
                <wp:posOffset>503998</wp:posOffset>
              </wp:positionH>
              <wp:positionV relativeFrom="paragraph">
                <wp:posOffset>947153</wp:posOffset>
              </wp:positionV>
              <wp:extent cx="6552005" cy="0"/>
              <wp:effectExtent l="0" t="0" r="20245" b="19050"/>
              <wp:wrapSquare wrapText="bothSides"/>
              <wp:docPr id="4" name="Group 17027"/>
              <wp:cNvGraphicFramePr/>
              <a:graphic xmlns:a="http://schemas.openxmlformats.org/drawingml/2006/main">
                <a:graphicData uri="http://schemas.microsoft.com/office/word/2010/wordprocessingShape">
                  <wps:wsp>
                    <wps:cNvSpPr/>
                    <wps:spPr>
                      <a:xfrm>
                        <a:off x="0" y="0"/>
                        <a:ext cx="6552005" cy="0"/>
                      </a:xfrm>
                      <a:custGeom>
                        <a:avLst/>
                        <a:gdLst>
                          <a:gd name="f0" fmla="val w"/>
                          <a:gd name="f1" fmla="val h"/>
                          <a:gd name="f2" fmla="val 0"/>
                          <a:gd name="f3" fmla="val 6551930"/>
                          <a:gd name="f4" fmla="*/ f0 1 6551930"/>
                          <a:gd name="f5" fmla="*/ f1 1 0"/>
                          <a:gd name="f6" fmla="val f2"/>
                          <a:gd name="f7" fmla="val f3"/>
                          <a:gd name="f8" fmla="+- f6 0 f6"/>
                          <a:gd name="f9" fmla="+- f7 0 f6"/>
                          <a:gd name="f10" fmla="*/ f9 1 6551930"/>
                          <a:gd name="f11" fmla="*/ f8 1 0"/>
                          <a:gd name="f12" fmla="*/ 0 1 f10"/>
                          <a:gd name="f13" fmla="*/ 6551930 1 f10"/>
                          <a:gd name="f14" fmla="*/ 0 1 f11"/>
                          <a:gd name="f15" fmla="*/ f12 f4 1"/>
                          <a:gd name="f16" fmla="*/ f13 f4 1"/>
                          <a:gd name="f17" fmla="*/ f14 f5 1"/>
                        </a:gdLst>
                        <a:ahLst/>
                        <a:cxnLst>
                          <a:cxn ang="3cd4">
                            <a:pos x="hc" y="t"/>
                          </a:cxn>
                          <a:cxn ang="0">
                            <a:pos x="r" y="vc"/>
                          </a:cxn>
                          <a:cxn ang="cd4">
                            <a:pos x="hc" y="b"/>
                          </a:cxn>
                          <a:cxn ang="cd2">
                            <a:pos x="l" y="vc"/>
                          </a:cxn>
                        </a:cxnLst>
                        <a:rect l="f15" t="f17" r="f16" b="f17"/>
                        <a:pathLst>
                          <a:path w="6551930">
                            <a:moveTo>
                              <a:pt x="f2" y="f2"/>
                            </a:moveTo>
                            <a:lnTo>
                              <a:pt x="f3" y="f2"/>
                            </a:lnTo>
                          </a:path>
                        </a:pathLst>
                      </a:custGeom>
                      <a:noFill/>
                      <a:ln w="12701" cap="flat">
                        <a:solidFill>
                          <a:srgbClr val="181717"/>
                        </a:solidFill>
                        <a:prstDash val="solid"/>
                        <a:miter/>
                      </a:ln>
                    </wps:spPr>
                    <wps:bodyPr lIns="0" tIns="0" rIns="0" bIns="0"/>
                  </wps:wsp>
                </a:graphicData>
              </a:graphic>
            </wp:anchor>
          </w:drawing>
        </mc:Choice>
        <mc:Fallback>
          <w:pict>
            <v:shape w14:anchorId="4D248850" id="Group 17027" o:spid="_x0000_s1026" style="position:absolute;margin-left:39.7pt;margin-top:74.6pt;width:515.9pt;height:0;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6551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" path="m,l6551930,e" filled="f" strokecolor="#181717" strokeweight=".35281mm">
              <v:stroke joinstyle="miter"/>
              <v:path arrowok="t" o:connecttype="custom" o:connectlocs="3276003,0;6552005,1;3276003,1;0,1" o:connectangles="270,0,90,180" textboxrect="0,0,6551930,0"/>
              <w10:wrap type="square"/>
            </v:shape>
          </w:pict>
        </mc:Fallback>
      </mc:AlternateContent>
    </w:r>
    <w:r>
      <w:rPr>
        <w:rFonts w:ascii="Times New Roman" w:eastAsia="Times New Roman" w:hAnsi="Times New Roman" w:cs="Times New Roman"/>
        <w:color w:val="181717"/>
        <w:sz w:val="18"/>
      </w:rPr>
      <w:t xml:space="preserve"> Boletín Oficial de la Provincia de Santa Cruz de Tenerife. Número 8, Viernes 17 de enero de 2025</w:t>
    </w:r>
    <w:r>
      <w:rPr>
        <w:rFonts w:ascii="Times New Roman" w:eastAsia="Times New Roman" w:hAnsi="Times New Roman" w:cs="Times New Roman"/>
        <w:color w:val="181717"/>
        <w:sz w:val="18"/>
      </w:rPr>
      <w:tab/>
    </w:r>
    <w:r>
      <w:rPr>
        <w:rFonts w:ascii="Times New Roman" w:eastAsia="Times New Roman" w:hAnsi="Times New Roman" w:cs="Times New Roman"/>
        <w:color w:val="181717"/>
        <w:sz w:val="18"/>
      </w:rPr>
      <w:fldChar w:fldCharType="begin"/>
    </w:r>
    <w:r>
      <w:rPr>
        <w:rFonts w:ascii="Times New Roman" w:eastAsia="Times New Roman" w:hAnsi="Times New Roman" w:cs="Times New Roman"/>
        <w:color w:val="181717"/>
        <w:sz w:val="18"/>
      </w:rPr>
      <w:instrText xml:space="preserve"> PAGE </w:instrText>
    </w:r>
    <w:r>
      <w:rPr>
        <w:rFonts w:ascii="Times New Roman" w:eastAsia="Times New Roman" w:hAnsi="Times New Roman" w:cs="Times New Roman"/>
        <w:color w:val="181717"/>
        <w:sz w:val="18"/>
      </w:rPr>
      <w:fldChar w:fldCharType="separate"/>
    </w:r>
    <w:r w:rsidR="007D3E7A">
      <w:rPr>
        <w:rFonts w:ascii="Times New Roman" w:eastAsia="Times New Roman" w:hAnsi="Times New Roman" w:cs="Times New Roman"/>
        <w:noProof/>
        <w:color w:val="181717"/>
        <w:sz w:val="18"/>
      </w:rPr>
      <w:t>1378</w:t>
    </w:r>
    <w:r>
      <w:rPr>
        <w:rFonts w:ascii="Times New Roman" w:eastAsia="Times New Roman" w:hAnsi="Times New Roman" w:cs="Times New Roman"/>
        <w:color w:val="181717"/>
        <w:sz w:val="1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F7E" w:rsidRDefault="0041653A">
    <w:pPr>
      <w:tabs>
        <w:tab w:val="right" w:pos="9638"/>
      </w:tabs>
      <w:spacing w:after="0" w:line="256" w:lineRule="auto"/>
      <w:ind w:left="-221" w:right="-1" w:firstLine="0"/>
      <w:jc w:val="left"/>
    </w:pPr>
    <w:r>
      <w:rPr>
        <w:rFonts w:ascii="Calibri" w:eastAsia="Calibri" w:hAnsi="Calibri" w:cs="Calibri"/>
        <w:noProof/>
      </w:rPr>
      <mc:AlternateContent>
        <mc:Choice Requires="wps">
          <w:drawing>
            <wp:anchor distT="0" distB="0" distL="114300" distR="114300" simplePos="0" relativeHeight="251662336" behindDoc="0" locked="0" layoutInCell="1" allowOverlap="1">
              <wp:simplePos x="0" y="0"/>
              <wp:positionH relativeFrom="column">
                <wp:posOffset>503998</wp:posOffset>
              </wp:positionH>
              <wp:positionV relativeFrom="paragraph">
                <wp:posOffset>738853</wp:posOffset>
              </wp:positionV>
              <wp:extent cx="6552005" cy="0"/>
              <wp:effectExtent l="0" t="0" r="20245" b="19050"/>
              <wp:wrapSquare wrapText="bothSides"/>
              <wp:docPr id="1" name="Group 17013"/>
              <wp:cNvGraphicFramePr/>
              <a:graphic xmlns:a="http://schemas.openxmlformats.org/drawingml/2006/main">
                <a:graphicData uri="http://schemas.microsoft.com/office/word/2010/wordprocessingShape">
                  <wps:wsp>
                    <wps:cNvSpPr/>
                    <wps:spPr>
                      <a:xfrm>
                        <a:off x="0" y="0"/>
                        <a:ext cx="6552005" cy="0"/>
                      </a:xfrm>
                      <a:custGeom>
                        <a:avLst/>
                        <a:gdLst>
                          <a:gd name="f0" fmla="val w"/>
                          <a:gd name="f1" fmla="val h"/>
                          <a:gd name="f2" fmla="val 0"/>
                          <a:gd name="f3" fmla="val 6551930"/>
                          <a:gd name="f4" fmla="*/ f0 1 6551930"/>
                          <a:gd name="f5" fmla="*/ f1 1 0"/>
                          <a:gd name="f6" fmla="val f2"/>
                          <a:gd name="f7" fmla="val f3"/>
                          <a:gd name="f8" fmla="+- f6 0 f6"/>
                          <a:gd name="f9" fmla="+- f7 0 f6"/>
                          <a:gd name="f10" fmla="*/ f9 1 6551930"/>
                          <a:gd name="f11" fmla="*/ f8 1 0"/>
                          <a:gd name="f12" fmla="*/ 0 1 f10"/>
                          <a:gd name="f13" fmla="*/ 6551930 1 f10"/>
                          <a:gd name="f14" fmla="*/ 0 1 f11"/>
                          <a:gd name="f15" fmla="*/ f12 f4 1"/>
                          <a:gd name="f16" fmla="*/ f13 f4 1"/>
                          <a:gd name="f17" fmla="*/ f14 f5 1"/>
                        </a:gdLst>
                        <a:ahLst/>
                        <a:cxnLst>
                          <a:cxn ang="3cd4">
                            <a:pos x="hc" y="t"/>
                          </a:cxn>
                          <a:cxn ang="0">
                            <a:pos x="r" y="vc"/>
                          </a:cxn>
                          <a:cxn ang="cd4">
                            <a:pos x="hc" y="b"/>
                          </a:cxn>
                          <a:cxn ang="cd2">
                            <a:pos x="l" y="vc"/>
                          </a:cxn>
                        </a:cxnLst>
                        <a:rect l="f15" t="f17" r="f16" b="f17"/>
                        <a:pathLst>
                          <a:path w="6551930">
                            <a:moveTo>
                              <a:pt x="f2" y="f2"/>
                            </a:moveTo>
                            <a:lnTo>
                              <a:pt x="f3" y="f2"/>
                            </a:lnTo>
                          </a:path>
                        </a:pathLst>
                      </a:custGeom>
                      <a:noFill/>
                      <a:ln w="12701" cap="flat">
                        <a:solidFill>
                          <a:srgbClr val="181717"/>
                        </a:solidFill>
                        <a:prstDash val="solid"/>
                        <a:miter/>
                      </a:ln>
                    </wps:spPr>
                    <wps:bodyPr lIns="0" tIns="0" rIns="0" bIns="0"/>
                  </wps:wsp>
                </a:graphicData>
              </a:graphic>
            </wp:anchor>
          </w:drawing>
        </mc:Choice>
        <mc:Fallback>
          <w:pict>
            <v:shape w14:anchorId="7C66E703" id="Group 17013" o:spid="_x0000_s1026" style="position:absolute;margin-left:39.7pt;margin-top:58.2pt;width:515.9pt;height:0;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6551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" path="m,l6551930,e" filled="f" strokecolor="#181717" strokeweight=".35281mm">
              <v:stroke joinstyle="miter"/>
              <v:path arrowok="t" o:connecttype="custom" o:connectlocs="3276003,0;6552005,1;3276003,1;0,1" o:connectangles="270,0,90,180" textboxrect="0,0,6551930,0"/>
              <w10:wrap type="square"/>
            </v:shape>
          </w:pict>
        </mc:Fallback>
      </mc:AlternateContent>
    </w:r>
    <w:r>
      <w:rPr>
        <w:rFonts w:ascii="Calibri" w:eastAsia="Calibri" w:hAnsi="Calibri" w:cs="Calibri"/>
        <w:noProof/>
      </w:rPr>
      <mc:AlternateContent>
        <mc:Choice Requires="wps">
          <w:drawing>
            <wp:anchor distT="0" distB="0" distL="114300" distR="114300" simplePos="0" relativeHeight="251663360" behindDoc="0" locked="0" layoutInCell="1" allowOverlap="1">
              <wp:simplePos x="0" y="0"/>
              <wp:positionH relativeFrom="column">
                <wp:posOffset>503998</wp:posOffset>
              </wp:positionH>
              <wp:positionV relativeFrom="paragraph">
                <wp:posOffset>959653</wp:posOffset>
              </wp:positionV>
              <wp:extent cx="6552005" cy="0"/>
              <wp:effectExtent l="0" t="0" r="20245" b="19050"/>
              <wp:wrapSquare wrapText="bothSides"/>
              <wp:docPr id="2" name="Group 17015"/>
              <wp:cNvGraphicFramePr/>
              <a:graphic xmlns:a="http://schemas.openxmlformats.org/drawingml/2006/main">
                <a:graphicData uri="http://schemas.microsoft.com/office/word/2010/wordprocessingShape">
                  <wps:wsp>
                    <wps:cNvSpPr/>
                    <wps:spPr>
                      <a:xfrm>
                        <a:off x="0" y="0"/>
                        <a:ext cx="6552005" cy="0"/>
                      </a:xfrm>
                      <a:custGeom>
                        <a:avLst/>
                        <a:gdLst>
                          <a:gd name="f0" fmla="val w"/>
                          <a:gd name="f1" fmla="val h"/>
                          <a:gd name="f2" fmla="val 0"/>
                          <a:gd name="f3" fmla="val 6551930"/>
                          <a:gd name="f4" fmla="*/ f0 1 6551930"/>
                          <a:gd name="f5" fmla="*/ f1 1 0"/>
                          <a:gd name="f6" fmla="val f2"/>
                          <a:gd name="f7" fmla="val f3"/>
                          <a:gd name="f8" fmla="+- f6 0 f6"/>
                          <a:gd name="f9" fmla="+- f7 0 f6"/>
                          <a:gd name="f10" fmla="*/ f9 1 6551930"/>
                          <a:gd name="f11" fmla="*/ f8 1 0"/>
                          <a:gd name="f12" fmla="*/ 0 1 f10"/>
                          <a:gd name="f13" fmla="*/ 6551930 1 f10"/>
                          <a:gd name="f14" fmla="*/ 0 1 f11"/>
                          <a:gd name="f15" fmla="*/ f12 f4 1"/>
                          <a:gd name="f16" fmla="*/ f13 f4 1"/>
                          <a:gd name="f17" fmla="*/ f14 f5 1"/>
                        </a:gdLst>
                        <a:ahLst/>
                        <a:cxnLst>
                          <a:cxn ang="3cd4">
                            <a:pos x="hc" y="t"/>
                          </a:cxn>
                          <a:cxn ang="0">
                            <a:pos x="r" y="vc"/>
                          </a:cxn>
                          <a:cxn ang="cd4">
                            <a:pos x="hc" y="b"/>
                          </a:cxn>
                          <a:cxn ang="cd2">
                            <a:pos x="l" y="vc"/>
                          </a:cxn>
                        </a:cxnLst>
                        <a:rect l="f15" t="f17" r="f16" b="f17"/>
                        <a:pathLst>
                          <a:path w="6551930">
                            <a:moveTo>
                              <a:pt x="f2" y="f2"/>
                            </a:moveTo>
                            <a:lnTo>
                              <a:pt x="f3" y="f2"/>
                            </a:lnTo>
                          </a:path>
                        </a:pathLst>
                      </a:custGeom>
                      <a:noFill/>
                      <a:ln w="12701" cap="flat">
                        <a:solidFill>
                          <a:srgbClr val="181717"/>
                        </a:solidFill>
                        <a:prstDash val="solid"/>
                        <a:miter/>
                      </a:ln>
                    </wps:spPr>
                    <wps:bodyPr lIns="0" tIns="0" rIns="0" bIns="0"/>
                  </wps:wsp>
                </a:graphicData>
              </a:graphic>
            </wp:anchor>
          </w:drawing>
        </mc:Choice>
        <mc:Fallback>
          <w:pict>
            <v:shape w14:anchorId="2B9986A8" id="Group 17015" o:spid="_x0000_s1026" style="position:absolute;margin-left:39.7pt;margin-top:75.55pt;width:515.9pt;height:0;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6551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" path="m,l6551930,e" filled="f" strokecolor="#181717" strokeweight=".35281mm">
              <v:stroke joinstyle="miter"/>
              <v:path arrowok="t" o:connecttype="custom" o:connectlocs="3276003,0;6552005,1;3276003,1;0,1" o:connectangles="270,0,90,180" textboxrect="0,0,6551930,0"/>
              <w10:wrap type="square"/>
            </v:shape>
          </w:pict>
        </mc:Fallback>
      </mc:AlternateContent>
    </w:r>
    <w:r>
      <w:rPr>
        <w:rFonts w:ascii="Times New Roman" w:eastAsia="Times New Roman" w:hAnsi="Times New Roman" w:cs="Times New Roman"/>
        <w:color w:val="181717"/>
        <w:sz w:val="18"/>
      </w:rPr>
      <w:fldChar w:fldCharType="begin"/>
    </w:r>
    <w:r>
      <w:rPr>
        <w:rFonts w:ascii="Times New Roman" w:eastAsia="Times New Roman" w:hAnsi="Times New Roman" w:cs="Times New Roman"/>
        <w:color w:val="181717"/>
        <w:sz w:val="18"/>
      </w:rPr>
      <w:instrText xml:space="preserve"> PAGE </w:instrText>
    </w:r>
    <w:r>
      <w:rPr>
        <w:rFonts w:ascii="Times New Roman" w:eastAsia="Times New Roman" w:hAnsi="Times New Roman" w:cs="Times New Roman"/>
        <w:color w:val="181717"/>
        <w:sz w:val="18"/>
      </w:rPr>
      <w:fldChar w:fldCharType="separate"/>
    </w:r>
    <w:r w:rsidR="007D3E7A">
      <w:rPr>
        <w:rFonts w:ascii="Times New Roman" w:eastAsia="Times New Roman" w:hAnsi="Times New Roman" w:cs="Times New Roman"/>
        <w:noProof/>
        <w:color w:val="181717"/>
        <w:sz w:val="18"/>
      </w:rPr>
      <w:t>1375</w:t>
    </w:r>
    <w:r>
      <w:rPr>
        <w:rFonts w:ascii="Times New Roman" w:eastAsia="Times New Roman" w:hAnsi="Times New Roman" w:cs="Times New Roman"/>
        <w:color w:val="181717"/>
        <w:sz w:val="18"/>
      </w:rPr>
      <w:fldChar w:fldCharType="end"/>
    </w:r>
    <w:r>
      <w:rPr>
        <w:rFonts w:ascii="Times New Roman" w:eastAsia="Times New Roman" w:hAnsi="Times New Roman" w:cs="Times New Roman"/>
        <w:color w:val="181717"/>
        <w:sz w:val="18"/>
      </w:rPr>
      <w:tab/>
      <w:t xml:space="preserve"> Boletín Oficial de la Provincia de Santa Cruz de Tenerife. Número 8, Viernes 17 de enero de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E5683"/>
    <w:multiLevelType w:val="multilevel"/>
    <w:tmpl w:val="60005B26"/>
    <w:lvl w:ilvl="0">
      <w:start w:val="2"/>
      <w:numFmt w:val="decimal"/>
      <w:lvlText w:val="%1"/>
      <w:lvlJc w:val="left"/>
      <w:pPr>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2"/>
      <w:numFmt w:val="decimal"/>
      <w:lvlText w:val="%1.%2"/>
      <w:lvlJc w:val="left"/>
      <w:pPr>
        <w:ind w:left="106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decimal"/>
      <w:lvlText w:val="%1.%2.%3."/>
      <w:lvlJc w:val="left"/>
      <w:pPr>
        <w:ind w:left="269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49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1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3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5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37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09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 w15:restartNumberingAfterBreak="0">
    <w:nsid w:val="1A7247AE"/>
    <w:multiLevelType w:val="multilevel"/>
    <w:tmpl w:val="38185608"/>
    <w:lvl w:ilvl="0">
      <w:start w:val="1"/>
      <w:numFmt w:val="decimal"/>
      <w:lvlText w:val="%1"/>
      <w:lvlJc w:val="left"/>
      <w:pPr>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4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53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62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decimal"/>
      <w:lvlText w:val="%5."/>
      <w:lvlJc w:val="left"/>
      <w:pPr>
        <w:ind w:left="116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142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214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286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358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 w15:restartNumberingAfterBreak="0">
    <w:nsid w:val="1D7C5883"/>
    <w:multiLevelType w:val="multilevel"/>
    <w:tmpl w:val="D2AED950"/>
    <w:lvl w:ilvl="0">
      <w:start w:val="1"/>
      <w:numFmt w:val="decimal"/>
      <w:lvlText w:val="%1"/>
      <w:lvlJc w:val="left"/>
      <w:pPr>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45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5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63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decimal"/>
      <w:lvlText w:val="%5."/>
      <w:lvlJc w:val="left"/>
      <w:pPr>
        <w:ind w:left="126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14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21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36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 w15:restartNumberingAfterBreak="0">
    <w:nsid w:val="22AF48D1"/>
    <w:multiLevelType w:val="multilevel"/>
    <w:tmpl w:val="9DAC627E"/>
    <w:lvl w:ilvl="0">
      <w:start w:val="1"/>
      <w:numFmt w:val="decimal"/>
      <w:lvlText w:val="%1"/>
      <w:lvlJc w:val="left"/>
      <w:pPr>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4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53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62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decimal"/>
      <w:lvlText w:val="%5."/>
      <w:lvlJc w:val="left"/>
      <w:pPr>
        <w:ind w:left="127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142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214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286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358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4" w15:restartNumberingAfterBreak="0">
    <w:nsid w:val="277C6E9B"/>
    <w:multiLevelType w:val="multilevel"/>
    <w:tmpl w:val="00D66CAC"/>
    <w:lvl w:ilvl="0">
      <w:start w:val="1"/>
      <w:numFmt w:val="decimal"/>
      <w:lvlText w:val="%1"/>
      <w:lvlJc w:val="left"/>
      <w:pPr>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ind w:left="127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64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36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08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80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52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24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96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5" w15:restartNumberingAfterBreak="0">
    <w:nsid w:val="2BB465A8"/>
    <w:multiLevelType w:val="multilevel"/>
    <w:tmpl w:val="3C2E2C16"/>
    <w:lvl w:ilvl="0">
      <w:start w:val="2"/>
      <w:numFmt w:val="decimal"/>
      <w:lvlText w:val="%1"/>
      <w:lvlJc w:val="left"/>
      <w:pPr>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1.%2."/>
      <w:lvlJc w:val="left"/>
      <w:pPr>
        <w:ind w:left="15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78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0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2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4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6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38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0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6" w15:restartNumberingAfterBreak="0">
    <w:nsid w:val="31222116"/>
    <w:multiLevelType w:val="multilevel"/>
    <w:tmpl w:val="EABEF87E"/>
    <w:lvl w:ilvl="0">
      <w:start w:val="1"/>
      <w:numFmt w:val="decimal"/>
      <w:lvlText w:val="%1"/>
      <w:lvlJc w:val="left"/>
      <w:pPr>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45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5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63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decimal"/>
      <w:lvlText w:val="%5."/>
      <w:lvlJc w:val="left"/>
      <w:pPr>
        <w:ind w:left="126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14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21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36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7" w15:restartNumberingAfterBreak="0">
    <w:nsid w:val="3CD62D6F"/>
    <w:multiLevelType w:val="multilevel"/>
    <w:tmpl w:val="8D9C0CD8"/>
    <w:lvl w:ilvl="0">
      <w:numFmt w:val="bullet"/>
      <w:lvlText w:val="•"/>
      <w:lvlJc w:val="left"/>
      <w:pPr>
        <w:ind w:left="3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numFmt w:val="bullet"/>
      <w:lvlText w:val="o"/>
      <w:lvlJc w:val="left"/>
      <w:pPr>
        <w:ind w:left="5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numFmt w:val="bullet"/>
      <w:lvlText w:val="▪"/>
      <w:lvlJc w:val="left"/>
      <w:pPr>
        <w:ind w:left="7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numFmt w:val="bullet"/>
      <w:lvlText w:val="•"/>
      <w:lvlJc w:val="left"/>
      <w:pPr>
        <w:ind w:left="9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numFmt w:val="bullet"/>
      <w:lvlText w:val="o"/>
      <w:lvlJc w:val="left"/>
      <w:pPr>
        <w:ind w:left="1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numFmt w:val="bullet"/>
      <w:lvlText w:val="▪"/>
      <w:lvlJc w:val="left"/>
      <w:pPr>
        <w:ind w:left="12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numFmt w:val="bullet"/>
      <w:lvlText w:val="-"/>
      <w:lvlJc w:val="left"/>
      <w:pPr>
        <w:ind w:left="170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numFmt w:val="bullet"/>
      <w:lvlText w:val="o"/>
      <w:lvlJc w:val="left"/>
      <w:pPr>
        <w:ind w:left="21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numFmt w:val="bullet"/>
      <w:lvlText w:val="▪"/>
      <w:lvlJc w:val="left"/>
      <w:pPr>
        <w:ind w:left="28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8" w15:restartNumberingAfterBreak="0">
    <w:nsid w:val="4B4D7DC7"/>
    <w:multiLevelType w:val="multilevel"/>
    <w:tmpl w:val="251C0C6C"/>
    <w:lvl w:ilvl="0">
      <w:numFmt w:val="bullet"/>
      <w:lvlText w:val="•"/>
      <w:lvlJc w:val="left"/>
      <w:pPr>
        <w:ind w:left="3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numFmt w:val="bullet"/>
      <w:lvlText w:val="o"/>
      <w:lvlJc w:val="left"/>
      <w:pPr>
        <w:ind w:left="51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numFmt w:val="bullet"/>
      <w:lvlText w:val="▪"/>
      <w:lvlJc w:val="left"/>
      <w:pPr>
        <w:ind w:left="669"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numFmt w:val="bullet"/>
      <w:lvlText w:val="•"/>
      <w:lvlJc w:val="left"/>
      <w:pPr>
        <w:ind w:left="82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numFmt w:val="bullet"/>
      <w:lvlText w:val="o"/>
      <w:lvlJc w:val="left"/>
      <w:pPr>
        <w:ind w:left="97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numFmt w:val="bullet"/>
      <w:lvlText w:val="-"/>
      <w:lvlJc w:val="left"/>
      <w:pPr>
        <w:ind w:left="153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numFmt w:val="bullet"/>
      <w:lvlText w:val="•"/>
      <w:lvlJc w:val="left"/>
      <w:pPr>
        <w:ind w:left="185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numFmt w:val="bullet"/>
      <w:lvlText w:val="o"/>
      <w:lvlJc w:val="left"/>
      <w:pPr>
        <w:ind w:left="257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numFmt w:val="bullet"/>
      <w:lvlText w:val="▪"/>
      <w:lvlJc w:val="left"/>
      <w:pPr>
        <w:ind w:left="329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9" w15:restartNumberingAfterBreak="0">
    <w:nsid w:val="52BE0DE3"/>
    <w:multiLevelType w:val="multilevel"/>
    <w:tmpl w:val="DB747BB0"/>
    <w:lvl w:ilvl="0">
      <w:start w:val="1"/>
      <w:numFmt w:val="decimal"/>
      <w:lvlText w:val="%1"/>
      <w:lvlJc w:val="left"/>
      <w:pPr>
        <w:ind w:left="360" w:firstLine="0"/>
      </w:pPr>
      <w:rPr>
        <w:rFonts w:ascii="Arial" w:eastAsia="Arial" w:hAnsi="Arial" w:cs="Arial"/>
        <w:b w:val="0"/>
        <w:i w:val="0"/>
        <w:strike w:val="0"/>
        <w:dstrike w:val="0"/>
        <w:color w:val="000000"/>
        <w:position w:val="0"/>
        <w:sz w:val="21"/>
        <w:szCs w:val="21"/>
        <w:u w:val="none" w:color="000000"/>
        <w:shd w:val="clear" w:color="auto" w:fill="auto"/>
        <w:vertAlign w:val="baseline"/>
      </w:rPr>
    </w:lvl>
    <w:lvl w:ilvl="1">
      <w:start w:val="1"/>
      <w:numFmt w:val="decimal"/>
      <w:lvlText w:val="%1.%2."/>
      <w:lvlJc w:val="left"/>
      <w:pPr>
        <w:ind w:left="1546" w:firstLine="0"/>
      </w:pPr>
      <w:rPr>
        <w:rFonts w:ascii="Arial" w:eastAsia="Arial" w:hAnsi="Arial" w:cs="Arial"/>
        <w:b w:val="0"/>
        <w:i w:val="0"/>
        <w:strike w:val="0"/>
        <w:dstrike w:val="0"/>
        <w:color w:val="000000"/>
        <w:position w:val="0"/>
        <w:sz w:val="21"/>
        <w:szCs w:val="21"/>
        <w:u w:val="none" w:color="000000"/>
        <w:shd w:val="clear" w:color="auto" w:fill="auto"/>
        <w:vertAlign w:val="baseline"/>
      </w:rPr>
    </w:lvl>
    <w:lvl w:ilvl="2">
      <w:start w:val="1"/>
      <w:numFmt w:val="lowerRoman"/>
      <w:lvlText w:val="%3"/>
      <w:lvlJc w:val="left"/>
      <w:pPr>
        <w:ind w:left="2209" w:firstLine="0"/>
      </w:pPr>
      <w:rPr>
        <w:rFonts w:ascii="Arial" w:eastAsia="Arial" w:hAnsi="Arial" w:cs="Arial"/>
        <w:b w:val="0"/>
        <w:i w:val="0"/>
        <w:strike w:val="0"/>
        <w:dstrike w:val="0"/>
        <w:color w:val="000000"/>
        <w:position w:val="0"/>
        <w:sz w:val="21"/>
        <w:szCs w:val="21"/>
        <w:u w:val="none" w:color="000000"/>
        <w:shd w:val="clear" w:color="auto" w:fill="auto"/>
        <w:vertAlign w:val="baseline"/>
      </w:rPr>
    </w:lvl>
    <w:lvl w:ilvl="3">
      <w:start w:val="1"/>
      <w:numFmt w:val="decimal"/>
      <w:lvlText w:val="%4"/>
      <w:lvlJc w:val="left"/>
      <w:pPr>
        <w:ind w:left="2929" w:firstLine="0"/>
      </w:pPr>
      <w:rPr>
        <w:rFonts w:ascii="Arial" w:eastAsia="Arial" w:hAnsi="Arial" w:cs="Arial"/>
        <w:b w:val="0"/>
        <w:i w:val="0"/>
        <w:strike w:val="0"/>
        <w:dstrike w:val="0"/>
        <w:color w:val="000000"/>
        <w:position w:val="0"/>
        <w:sz w:val="21"/>
        <w:szCs w:val="21"/>
        <w:u w:val="none" w:color="000000"/>
        <w:shd w:val="clear" w:color="auto" w:fill="auto"/>
        <w:vertAlign w:val="baseline"/>
      </w:rPr>
    </w:lvl>
    <w:lvl w:ilvl="4">
      <w:start w:val="1"/>
      <w:numFmt w:val="lowerLetter"/>
      <w:lvlText w:val="%5"/>
      <w:lvlJc w:val="left"/>
      <w:pPr>
        <w:ind w:left="3649" w:firstLine="0"/>
      </w:pPr>
      <w:rPr>
        <w:rFonts w:ascii="Arial" w:eastAsia="Arial" w:hAnsi="Arial" w:cs="Arial"/>
        <w:b w:val="0"/>
        <w:i w:val="0"/>
        <w:strike w:val="0"/>
        <w:dstrike w:val="0"/>
        <w:color w:val="000000"/>
        <w:position w:val="0"/>
        <w:sz w:val="21"/>
        <w:szCs w:val="21"/>
        <w:u w:val="none" w:color="000000"/>
        <w:shd w:val="clear" w:color="auto" w:fill="auto"/>
        <w:vertAlign w:val="baseline"/>
      </w:rPr>
    </w:lvl>
    <w:lvl w:ilvl="5">
      <w:start w:val="1"/>
      <w:numFmt w:val="lowerRoman"/>
      <w:lvlText w:val="%6"/>
      <w:lvlJc w:val="left"/>
      <w:pPr>
        <w:ind w:left="4369" w:firstLine="0"/>
      </w:pPr>
      <w:rPr>
        <w:rFonts w:ascii="Arial" w:eastAsia="Arial" w:hAnsi="Arial" w:cs="Arial"/>
        <w:b w:val="0"/>
        <w:i w:val="0"/>
        <w:strike w:val="0"/>
        <w:dstrike w:val="0"/>
        <w:color w:val="000000"/>
        <w:position w:val="0"/>
        <w:sz w:val="21"/>
        <w:szCs w:val="21"/>
        <w:u w:val="none" w:color="000000"/>
        <w:shd w:val="clear" w:color="auto" w:fill="auto"/>
        <w:vertAlign w:val="baseline"/>
      </w:rPr>
    </w:lvl>
    <w:lvl w:ilvl="6">
      <w:start w:val="1"/>
      <w:numFmt w:val="decimal"/>
      <w:lvlText w:val="%7"/>
      <w:lvlJc w:val="left"/>
      <w:pPr>
        <w:ind w:left="5089" w:firstLine="0"/>
      </w:pPr>
      <w:rPr>
        <w:rFonts w:ascii="Arial" w:eastAsia="Arial" w:hAnsi="Arial" w:cs="Arial"/>
        <w:b w:val="0"/>
        <w:i w:val="0"/>
        <w:strike w:val="0"/>
        <w:dstrike w:val="0"/>
        <w:color w:val="000000"/>
        <w:position w:val="0"/>
        <w:sz w:val="21"/>
        <w:szCs w:val="21"/>
        <w:u w:val="none" w:color="000000"/>
        <w:shd w:val="clear" w:color="auto" w:fill="auto"/>
        <w:vertAlign w:val="baseline"/>
      </w:rPr>
    </w:lvl>
    <w:lvl w:ilvl="7">
      <w:start w:val="1"/>
      <w:numFmt w:val="lowerLetter"/>
      <w:lvlText w:val="%8"/>
      <w:lvlJc w:val="left"/>
      <w:pPr>
        <w:ind w:left="5809" w:firstLine="0"/>
      </w:pPr>
      <w:rPr>
        <w:rFonts w:ascii="Arial" w:eastAsia="Arial" w:hAnsi="Arial" w:cs="Arial"/>
        <w:b w:val="0"/>
        <w:i w:val="0"/>
        <w:strike w:val="0"/>
        <w:dstrike w:val="0"/>
        <w:color w:val="000000"/>
        <w:position w:val="0"/>
        <w:sz w:val="21"/>
        <w:szCs w:val="21"/>
        <w:u w:val="none" w:color="000000"/>
        <w:shd w:val="clear" w:color="auto" w:fill="auto"/>
        <w:vertAlign w:val="baseline"/>
      </w:rPr>
    </w:lvl>
    <w:lvl w:ilvl="8">
      <w:start w:val="1"/>
      <w:numFmt w:val="lowerRoman"/>
      <w:lvlText w:val="%9"/>
      <w:lvlJc w:val="left"/>
      <w:pPr>
        <w:ind w:left="6529" w:firstLine="0"/>
      </w:pPr>
      <w:rPr>
        <w:rFonts w:ascii="Arial" w:eastAsia="Arial" w:hAnsi="Arial" w:cs="Arial"/>
        <w:b w:val="0"/>
        <w:i w:val="0"/>
        <w:strike w:val="0"/>
        <w:dstrike w:val="0"/>
        <w:color w:val="000000"/>
        <w:position w:val="0"/>
        <w:sz w:val="21"/>
        <w:szCs w:val="21"/>
        <w:u w:val="none" w:color="000000"/>
        <w:shd w:val="clear" w:color="auto" w:fill="auto"/>
        <w:vertAlign w:val="baseline"/>
      </w:rPr>
    </w:lvl>
  </w:abstractNum>
  <w:abstractNum w:abstractNumId="10" w15:restartNumberingAfterBreak="0">
    <w:nsid w:val="53DD0BCB"/>
    <w:multiLevelType w:val="multilevel"/>
    <w:tmpl w:val="16A2AE16"/>
    <w:lvl w:ilvl="0">
      <w:start w:val="1"/>
      <w:numFmt w:val="decimal"/>
      <w:lvlText w:val="%1."/>
      <w:lvlJc w:val="left"/>
      <w:pPr>
        <w:ind w:left="617" w:firstLine="0"/>
      </w:pPr>
      <w:rPr>
        <w:rFonts w:ascii="Arial" w:eastAsia="Arial" w:hAnsi="Arial" w:cs="Arial"/>
        <w:b/>
        <w:bCs/>
        <w:i w:val="0"/>
        <w:strike w:val="0"/>
        <w:dstrike w:val="0"/>
        <w:color w:val="000000"/>
        <w:position w:val="0"/>
        <w:sz w:val="21"/>
        <w:szCs w:val="21"/>
        <w:u w:val="none" w:color="000000"/>
        <w:shd w:val="clear" w:color="auto" w:fill="auto"/>
        <w:vertAlign w:val="baseline"/>
      </w:rPr>
    </w:lvl>
    <w:lvl w:ilvl="1">
      <w:start w:val="1"/>
      <w:numFmt w:val="lowerLetter"/>
      <w:lvlText w:val="%2"/>
      <w:lvlJc w:val="left"/>
      <w:pPr>
        <w:ind w:left="1390" w:firstLine="0"/>
      </w:pPr>
      <w:rPr>
        <w:rFonts w:ascii="Arial" w:eastAsia="Arial" w:hAnsi="Arial" w:cs="Arial"/>
        <w:b/>
        <w:bCs/>
        <w:i w:val="0"/>
        <w:strike w:val="0"/>
        <w:dstrike w:val="0"/>
        <w:color w:val="000000"/>
        <w:position w:val="0"/>
        <w:sz w:val="21"/>
        <w:szCs w:val="21"/>
        <w:u w:val="none" w:color="000000"/>
        <w:shd w:val="clear" w:color="auto" w:fill="auto"/>
        <w:vertAlign w:val="baseline"/>
      </w:rPr>
    </w:lvl>
    <w:lvl w:ilvl="2">
      <w:start w:val="1"/>
      <w:numFmt w:val="lowerRoman"/>
      <w:lvlText w:val="%3"/>
      <w:lvlJc w:val="left"/>
      <w:pPr>
        <w:ind w:left="2110" w:firstLine="0"/>
      </w:pPr>
      <w:rPr>
        <w:rFonts w:ascii="Arial" w:eastAsia="Arial" w:hAnsi="Arial" w:cs="Arial"/>
        <w:b/>
        <w:bCs/>
        <w:i w:val="0"/>
        <w:strike w:val="0"/>
        <w:dstrike w:val="0"/>
        <w:color w:val="000000"/>
        <w:position w:val="0"/>
        <w:sz w:val="21"/>
        <w:szCs w:val="21"/>
        <w:u w:val="none" w:color="000000"/>
        <w:shd w:val="clear" w:color="auto" w:fill="auto"/>
        <w:vertAlign w:val="baseline"/>
      </w:rPr>
    </w:lvl>
    <w:lvl w:ilvl="3">
      <w:start w:val="1"/>
      <w:numFmt w:val="decimal"/>
      <w:lvlText w:val="%4"/>
      <w:lvlJc w:val="left"/>
      <w:pPr>
        <w:ind w:left="2830" w:firstLine="0"/>
      </w:pPr>
      <w:rPr>
        <w:rFonts w:ascii="Arial" w:eastAsia="Arial" w:hAnsi="Arial" w:cs="Arial"/>
        <w:b/>
        <w:bCs/>
        <w:i w:val="0"/>
        <w:strike w:val="0"/>
        <w:dstrike w:val="0"/>
        <w:color w:val="000000"/>
        <w:position w:val="0"/>
        <w:sz w:val="21"/>
        <w:szCs w:val="21"/>
        <w:u w:val="none" w:color="000000"/>
        <w:shd w:val="clear" w:color="auto" w:fill="auto"/>
        <w:vertAlign w:val="baseline"/>
      </w:rPr>
    </w:lvl>
    <w:lvl w:ilvl="4">
      <w:start w:val="1"/>
      <w:numFmt w:val="lowerLetter"/>
      <w:lvlText w:val="%5"/>
      <w:lvlJc w:val="left"/>
      <w:pPr>
        <w:ind w:left="3550" w:firstLine="0"/>
      </w:pPr>
      <w:rPr>
        <w:rFonts w:ascii="Arial" w:eastAsia="Arial" w:hAnsi="Arial" w:cs="Arial"/>
        <w:b/>
        <w:bCs/>
        <w:i w:val="0"/>
        <w:strike w:val="0"/>
        <w:dstrike w:val="0"/>
        <w:color w:val="000000"/>
        <w:position w:val="0"/>
        <w:sz w:val="21"/>
        <w:szCs w:val="21"/>
        <w:u w:val="none" w:color="000000"/>
        <w:shd w:val="clear" w:color="auto" w:fill="auto"/>
        <w:vertAlign w:val="baseline"/>
      </w:rPr>
    </w:lvl>
    <w:lvl w:ilvl="5">
      <w:start w:val="1"/>
      <w:numFmt w:val="lowerRoman"/>
      <w:lvlText w:val="%6"/>
      <w:lvlJc w:val="left"/>
      <w:pPr>
        <w:ind w:left="4270" w:firstLine="0"/>
      </w:pPr>
      <w:rPr>
        <w:rFonts w:ascii="Arial" w:eastAsia="Arial" w:hAnsi="Arial" w:cs="Arial"/>
        <w:b/>
        <w:bCs/>
        <w:i w:val="0"/>
        <w:strike w:val="0"/>
        <w:dstrike w:val="0"/>
        <w:color w:val="000000"/>
        <w:position w:val="0"/>
        <w:sz w:val="21"/>
        <w:szCs w:val="21"/>
        <w:u w:val="none" w:color="000000"/>
        <w:shd w:val="clear" w:color="auto" w:fill="auto"/>
        <w:vertAlign w:val="baseline"/>
      </w:rPr>
    </w:lvl>
    <w:lvl w:ilvl="6">
      <w:start w:val="1"/>
      <w:numFmt w:val="decimal"/>
      <w:lvlText w:val="%7"/>
      <w:lvlJc w:val="left"/>
      <w:pPr>
        <w:ind w:left="4990" w:firstLine="0"/>
      </w:pPr>
      <w:rPr>
        <w:rFonts w:ascii="Arial" w:eastAsia="Arial" w:hAnsi="Arial" w:cs="Arial"/>
        <w:b/>
        <w:bCs/>
        <w:i w:val="0"/>
        <w:strike w:val="0"/>
        <w:dstrike w:val="0"/>
        <w:color w:val="000000"/>
        <w:position w:val="0"/>
        <w:sz w:val="21"/>
        <w:szCs w:val="21"/>
        <w:u w:val="none" w:color="000000"/>
        <w:shd w:val="clear" w:color="auto" w:fill="auto"/>
        <w:vertAlign w:val="baseline"/>
      </w:rPr>
    </w:lvl>
    <w:lvl w:ilvl="7">
      <w:start w:val="1"/>
      <w:numFmt w:val="lowerLetter"/>
      <w:lvlText w:val="%8"/>
      <w:lvlJc w:val="left"/>
      <w:pPr>
        <w:ind w:left="5710" w:firstLine="0"/>
      </w:pPr>
      <w:rPr>
        <w:rFonts w:ascii="Arial" w:eastAsia="Arial" w:hAnsi="Arial" w:cs="Arial"/>
        <w:b/>
        <w:bCs/>
        <w:i w:val="0"/>
        <w:strike w:val="0"/>
        <w:dstrike w:val="0"/>
        <w:color w:val="000000"/>
        <w:position w:val="0"/>
        <w:sz w:val="21"/>
        <w:szCs w:val="21"/>
        <w:u w:val="none" w:color="000000"/>
        <w:shd w:val="clear" w:color="auto" w:fill="auto"/>
        <w:vertAlign w:val="baseline"/>
      </w:rPr>
    </w:lvl>
    <w:lvl w:ilvl="8">
      <w:start w:val="1"/>
      <w:numFmt w:val="lowerRoman"/>
      <w:lvlText w:val="%9"/>
      <w:lvlJc w:val="left"/>
      <w:pPr>
        <w:ind w:left="6430" w:firstLine="0"/>
      </w:pPr>
      <w:rPr>
        <w:rFonts w:ascii="Arial" w:eastAsia="Arial" w:hAnsi="Arial" w:cs="Arial"/>
        <w:b/>
        <w:bCs/>
        <w:i w:val="0"/>
        <w:strike w:val="0"/>
        <w:dstrike w:val="0"/>
        <w:color w:val="000000"/>
        <w:position w:val="0"/>
        <w:sz w:val="21"/>
        <w:szCs w:val="21"/>
        <w:u w:val="none" w:color="000000"/>
        <w:shd w:val="clear" w:color="auto" w:fill="auto"/>
        <w:vertAlign w:val="baseline"/>
      </w:rPr>
    </w:lvl>
  </w:abstractNum>
  <w:abstractNum w:abstractNumId="11" w15:restartNumberingAfterBreak="0">
    <w:nsid w:val="55F849B7"/>
    <w:multiLevelType w:val="multilevel"/>
    <w:tmpl w:val="5394BB6E"/>
    <w:lvl w:ilvl="0">
      <w:start w:val="1"/>
      <w:numFmt w:val="decimal"/>
      <w:lvlText w:val="%1"/>
      <w:lvlJc w:val="left"/>
      <w:pPr>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1.%2"/>
      <w:lvlJc w:val="left"/>
      <w:pPr>
        <w:ind w:left="78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4"/>
      <w:numFmt w:val="decimal"/>
      <w:lvlText w:val="%1.%2.%3"/>
      <w:lvlJc w:val="left"/>
      <w:pPr>
        <w:ind w:left="121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1.%2.%3.%4."/>
      <w:lvlJc w:val="left"/>
      <w:pPr>
        <w:ind w:left="269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35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07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379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451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23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2" w15:restartNumberingAfterBreak="0">
    <w:nsid w:val="58644EFD"/>
    <w:multiLevelType w:val="multilevel"/>
    <w:tmpl w:val="2968D01E"/>
    <w:lvl w:ilvl="0">
      <w:start w:val="1"/>
      <w:numFmt w:val="decimal"/>
      <w:lvlText w:val="%1"/>
      <w:lvlJc w:val="left"/>
      <w:pPr>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1.%2"/>
      <w:lvlJc w:val="left"/>
      <w:pPr>
        <w:ind w:left="106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2"/>
      <w:numFmt w:val="decimal"/>
      <w:lvlText w:val="%1.%2.%3."/>
      <w:lvlJc w:val="left"/>
      <w:pPr>
        <w:ind w:left="238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49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1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3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5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37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09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3" w15:restartNumberingAfterBreak="0">
    <w:nsid w:val="587C52F1"/>
    <w:multiLevelType w:val="multilevel"/>
    <w:tmpl w:val="5BC409DE"/>
    <w:lvl w:ilvl="0">
      <w:start w:val="1"/>
      <w:numFmt w:val="decimal"/>
      <w:lvlText w:val="%1."/>
      <w:lvlJc w:val="left"/>
      <w:pPr>
        <w:ind w:left="126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4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1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6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3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7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4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4" w15:restartNumberingAfterBreak="0">
    <w:nsid w:val="5ADA202F"/>
    <w:multiLevelType w:val="multilevel"/>
    <w:tmpl w:val="C0CCC888"/>
    <w:lvl w:ilvl="0">
      <w:start w:val="2"/>
      <w:numFmt w:val="decimal"/>
      <w:lvlText w:val="%1"/>
      <w:lvlJc w:val="left"/>
      <w:pPr>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1.%2"/>
      <w:lvlJc w:val="left"/>
      <w:pPr>
        <w:ind w:left="106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decimal"/>
      <w:lvlText w:val="%1.%2.%3."/>
      <w:lvlJc w:val="left"/>
      <w:pPr>
        <w:ind w:left="269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49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1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3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5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37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09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5" w15:restartNumberingAfterBreak="0">
    <w:nsid w:val="5C601CF9"/>
    <w:multiLevelType w:val="multilevel"/>
    <w:tmpl w:val="4CB41938"/>
    <w:lvl w:ilvl="0">
      <w:start w:val="5"/>
      <w:numFmt w:val="decimal"/>
      <w:lvlText w:val="%1."/>
      <w:lvlJc w:val="left"/>
      <w:pPr>
        <w:ind w:left="1324"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116"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36"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56"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76"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96"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716"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36"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56" w:firstLine="0"/>
      </w:pPr>
      <w:rPr>
        <w:rFonts w:ascii="Arial" w:eastAsia="Arial" w:hAnsi="Arial" w:cs="Arial"/>
        <w:b/>
        <w:bCs/>
        <w:i w:val="0"/>
        <w:strike w:val="0"/>
        <w:dstrike w:val="0"/>
        <w:color w:val="000000"/>
        <w:position w:val="0"/>
        <w:sz w:val="22"/>
        <w:szCs w:val="22"/>
        <w:u w:val="none" w:color="000000"/>
        <w:shd w:val="clear" w:color="auto" w:fill="auto"/>
        <w:vertAlign w:val="baseline"/>
      </w:rPr>
    </w:lvl>
  </w:abstractNum>
  <w:abstractNum w:abstractNumId="16" w15:restartNumberingAfterBreak="0">
    <w:nsid w:val="5E3A2011"/>
    <w:multiLevelType w:val="multilevel"/>
    <w:tmpl w:val="E7C8A57C"/>
    <w:lvl w:ilvl="0">
      <w:start w:val="1"/>
      <w:numFmt w:val="decimal"/>
      <w:lvlText w:val="%1."/>
      <w:lvlJc w:val="left"/>
      <w:pPr>
        <w:ind w:left="126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35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07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79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51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23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95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67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39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7" w15:restartNumberingAfterBreak="0">
    <w:nsid w:val="5E942928"/>
    <w:multiLevelType w:val="multilevel"/>
    <w:tmpl w:val="2DFEC798"/>
    <w:lvl w:ilvl="0">
      <w:start w:val="1"/>
      <w:numFmt w:val="decimal"/>
      <w:lvlText w:val="%1"/>
      <w:lvlJc w:val="left"/>
      <w:pPr>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1.%2."/>
      <w:lvlJc w:val="left"/>
      <w:pPr>
        <w:ind w:left="170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78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0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2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4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6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38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0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8" w15:restartNumberingAfterBreak="0">
    <w:nsid w:val="603E7067"/>
    <w:multiLevelType w:val="multilevel"/>
    <w:tmpl w:val="D850F33E"/>
    <w:lvl w:ilvl="0">
      <w:start w:val="1"/>
      <w:numFmt w:val="decimal"/>
      <w:lvlText w:val="%1"/>
      <w:lvlJc w:val="left"/>
      <w:pPr>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1.%2."/>
      <w:lvlJc w:val="left"/>
      <w:pPr>
        <w:ind w:left="170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78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0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2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4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6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38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0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9" w15:restartNumberingAfterBreak="0">
    <w:nsid w:val="669C3610"/>
    <w:multiLevelType w:val="multilevel"/>
    <w:tmpl w:val="733C5BA8"/>
    <w:lvl w:ilvl="0">
      <w:start w:val="2"/>
      <w:numFmt w:val="decimal"/>
      <w:lvlText w:val="%1"/>
      <w:lvlJc w:val="left"/>
      <w:pPr>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1.%2."/>
      <w:lvlJc w:val="left"/>
      <w:pPr>
        <w:ind w:left="166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78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0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2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4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6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38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0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0" w15:restartNumberingAfterBreak="0">
    <w:nsid w:val="6B585CD5"/>
    <w:multiLevelType w:val="multilevel"/>
    <w:tmpl w:val="2E1E9878"/>
    <w:lvl w:ilvl="0">
      <w:start w:val="1"/>
      <w:numFmt w:val="decimal"/>
      <w:lvlText w:val="%1"/>
      <w:lvlJc w:val="left"/>
      <w:pPr>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45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5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63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decimal"/>
      <w:lvlText w:val="%5."/>
      <w:lvlJc w:val="left"/>
      <w:pPr>
        <w:ind w:left="126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14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21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36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1" w15:restartNumberingAfterBreak="0">
    <w:nsid w:val="6DE410F9"/>
    <w:multiLevelType w:val="multilevel"/>
    <w:tmpl w:val="916A073A"/>
    <w:lvl w:ilvl="0">
      <w:start w:val="1"/>
      <w:numFmt w:val="decimal"/>
      <w:lvlText w:val="%1"/>
      <w:lvlJc w:val="left"/>
      <w:pPr>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1.%2"/>
      <w:lvlJc w:val="left"/>
      <w:pPr>
        <w:ind w:left="78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3"/>
      <w:numFmt w:val="decimal"/>
      <w:lvlText w:val="%1.%2.%3"/>
      <w:lvlJc w:val="left"/>
      <w:pPr>
        <w:ind w:left="121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1.%2.%3.%4."/>
      <w:lvlJc w:val="left"/>
      <w:pPr>
        <w:ind w:left="275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35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07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379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451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23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2" w15:restartNumberingAfterBreak="0">
    <w:nsid w:val="75074D04"/>
    <w:multiLevelType w:val="multilevel"/>
    <w:tmpl w:val="CB9E210C"/>
    <w:lvl w:ilvl="0">
      <w:start w:val="1"/>
      <w:numFmt w:val="decimal"/>
      <w:lvlText w:val="%1"/>
      <w:lvlJc w:val="left"/>
      <w:pPr>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2"/>
      <w:numFmt w:val="decimal"/>
      <w:lvlText w:val="%1.%2"/>
      <w:lvlJc w:val="left"/>
      <w:pPr>
        <w:ind w:left="92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decimal"/>
      <w:lvlText w:val="%1.%2.%3."/>
      <w:lvlJc w:val="left"/>
      <w:pPr>
        <w:ind w:left="226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21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93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65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37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09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81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3" w15:restartNumberingAfterBreak="0">
    <w:nsid w:val="7A1E2210"/>
    <w:multiLevelType w:val="multilevel"/>
    <w:tmpl w:val="1130DEC8"/>
    <w:lvl w:ilvl="0">
      <w:start w:val="1"/>
      <w:numFmt w:val="decimal"/>
      <w:lvlText w:val="%1"/>
      <w:lvlJc w:val="left"/>
      <w:pPr>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1.%2"/>
      <w:lvlJc w:val="left"/>
      <w:pPr>
        <w:ind w:left="104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decimal"/>
      <w:lvlText w:val="%1.%2.%3"/>
      <w:lvlJc w:val="left"/>
      <w:pPr>
        <w:ind w:left="172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1.%2.%3.%4."/>
      <w:lvlJc w:val="left"/>
      <w:pPr>
        <w:ind w:left="323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1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8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5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2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0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num w:numId="1">
    <w:abstractNumId w:val="10"/>
  </w:num>
  <w:num w:numId="2">
    <w:abstractNumId w:val="9"/>
  </w:num>
  <w:num w:numId="3">
    <w:abstractNumId w:val="16"/>
  </w:num>
  <w:num w:numId="4">
    <w:abstractNumId w:val="13"/>
  </w:num>
  <w:num w:numId="5">
    <w:abstractNumId w:val="15"/>
  </w:num>
  <w:num w:numId="6">
    <w:abstractNumId w:val="3"/>
  </w:num>
  <w:num w:numId="7">
    <w:abstractNumId w:val="5"/>
  </w:num>
  <w:num w:numId="8">
    <w:abstractNumId w:val="1"/>
  </w:num>
  <w:num w:numId="9">
    <w:abstractNumId w:val="8"/>
  </w:num>
  <w:num w:numId="10">
    <w:abstractNumId w:val="23"/>
  </w:num>
  <w:num w:numId="11">
    <w:abstractNumId w:val="12"/>
  </w:num>
  <w:num w:numId="12">
    <w:abstractNumId w:val="21"/>
  </w:num>
  <w:num w:numId="13">
    <w:abstractNumId w:val="11"/>
  </w:num>
  <w:num w:numId="14">
    <w:abstractNumId w:val="7"/>
  </w:num>
  <w:num w:numId="15">
    <w:abstractNumId w:val="14"/>
  </w:num>
  <w:num w:numId="16">
    <w:abstractNumId w:val="0"/>
  </w:num>
  <w:num w:numId="17">
    <w:abstractNumId w:val="20"/>
  </w:num>
  <w:num w:numId="18">
    <w:abstractNumId w:val="19"/>
  </w:num>
  <w:num w:numId="19">
    <w:abstractNumId w:val="17"/>
  </w:num>
  <w:num w:numId="20">
    <w:abstractNumId w:val="2"/>
  </w:num>
  <w:num w:numId="21">
    <w:abstractNumId w:val="6"/>
  </w:num>
  <w:num w:numId="22">
    <w:abstractNumId w:val="18"/>
  </w:num>
  <w:num w:numId="23">
    <w:abstractNumId w:val="2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
  <w:rsids>
    <w:rsidRoot w:val="00A257CE"/>
    <w:rsid w:val="0041653A"/>
    <w:rsid w:val="007D3E7A"/>
    <w:rsid w:val="00A257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499369-BE5C-4E31-A24F-5B7ED45B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9" w:line="268" w:lineRule="auto"/>
      <w:ind w:left="2781" w:right="564" w:hanging="370"/>
      <w:jc w:val="both"/>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3334</Words>
  <Characters>18343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teresa.freijido</cp:lastModifiedBy>
  <cp:revision>2</cp:revision>
  <dcterms:created xsi:type="dcterms:W3CDTF">2025-02-14T13:26:00Z</dcterms:created>
  <dcterms:modified xsi:type="dcterms:W3CDTF">2025-02-14T13:26:00Z</dcterms:modified>
</cp:coreProperties>
</file>