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1206146945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93CD3" wp14:editId="20EF5DBF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EB5FBA" w:rsidRDefault="00EB5FBA" w:rsidP="001B00EF">
      <w:pPr>
        <w:spacing w:line="276" w:lineRule="auto"/>
        <w:jc w:val="both"/>
        <w:rPr>
          <w:rFonts w:ascii="Arimo" w:hAnsi="Arimo" w:cs="Arimo"/>
          <w:b/>
          <w:color w:val="993366"/>
          <w:sz w:val="20"/>
          <w:szCs w:val="20"/>
          <w:u w:val="single"/>
        </w:rPr>
      </w:pPr>
    </w:p>
    <w:p w:rsidR="008F3D95" w:rsidRPr="008F3D95" w:rsidRDefault="008F3D95" w:rsidP="008F3D95">
      <w:pPr>
        <w:shd w:val="clear" w:color="auto" w:fill="EEEEEE"/>
        <w:suppressAutoHyphens w:val="0"/>
        <w:jc w:val="right"/>
        <w:rPr>
          <w:rFonts w:ascii="Arial" w:hAnsi="Arial" w:cs="Arial"/>
          <w:color w:val="777777"/>
          <w:sz w:val="23"/>
          <w:szCs w:val="23"/>
          <w:lang w:eastAsia="es-ES"/>
        </w:rPr>
      </w:pPr>
      <w:r w:rsidRPr="008F3D95">
        <w:rPr>
          <w:rFonts w:ascii="Arial" w:hAnsi="Arial" w:cs="Arial"/>
          <w:b/>
          <w:bCs/>
          <w:color w:val="660033"/>
          <w:sz w:val="27"/>
          <w:szCs w:val="27"/>
          <w:lang w:eastAsia="es-ES"/>
        </w:rPr>
        <w:t>Ejercicio </w:t>
      </w:r>
      <w:r w:rsidRPr="008F3D95">
        <w:rPr>
          <w:rFonts w:ascii="Arial" w:hAnsi="Arial" w:cs="Arial"/>
          <w:b/>
          <w:bCs/>
          <w:color w:val="660033"/>
          <w:lang w:eastAsia="es-ES"/>
        </w:rPr>
        <w:t>2015</w:t>
      </w:r>
    </w:p>
    <w:p w:rsidR="008F3D95" w:rsidRPr="008F3D95" w:rsidRDefault="008F3D95" w:rsidP="008F3D95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8F3D95">
        <w:rPr>
          <w:rFonts w:ascii="Arial" w:hAnsi="Arial" w:cs="Arial"/>
          <w:color w:val="777777"/>
          <w:sz w:val="23"/>
          <w:szCs w:val="23"/>
          <w:lang w:eastAsia="es-ES"/>
        </w:rPr>
        <w:t> </w:t>
      </w:r>
      <w:bookmarkStart w:id="0" w:name="_GoBack"/>
    </w:p>
    <w:p w:rsidR="008F3D95" w:rsidRPr="008F3D95" w:rsidRDefault="008F3D95" w:rsidP="008F3D95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8F3D95">
        <w:rPr>
          <w:rFonts w:ascii="Arial" w:hAnsi="Arial" w:cs="Arial"/>
          <w:color w:val="000000"/>
          <w:sz w:val="21"/>
          <w:szCs w:val="21"/>
          <w:lang w:eastAsia="es-ES"/>
        </w:rPr>
        <w:t>El importe de la deuda pública del Ayuntamiento de Candelaria, a </w:t>
      </w:r>
      <w:r w:rsidRPr="008F3D95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31 de diciembre de 2015,</w:t>
      </w:r>
      <w:r w:rsidRPr="008F3D95">
        <w:rPr>
          <w:rFonts w:ascii="Arial" w:hAnsi="Arial" w:cs="Arial"/>
          <w:color w:val="000000"/>
          <w:sz w:val="21"/>
          <w:szCs w:val="21"/>
          <w:lang w:eastAsia="es-ES"/>
        </w:rPr>
        <w:t> importa un total de </w:t>
      </w:r>
      <w:r w:rsidRPr="008F3D95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10.955.323,12 Euros,</w:t>
      </w:r>
      <w:r w:rsidRPr="008F3D95">
        <w:rPr>
          <w:rFonts w:ascii="Arial" w:hAnsi="Arial" w:cs="Arial"/>
          <w:color w:val="000000"/>
          <w:sz w:val="21"/>
          <w:szCs w:val="21"/>
          <w:lang w:eastAsia="es-ES"/>
        </w:rPr>
        <w:t> conforme el siguiente detalle:</w:t>
      </w:r>
    </w:p>
    <w:p w:rsidR="008F3D95" w:rsidRPr="008F3D95" w:rsidRDefault="008F3D95" w:rsidP="008F3D95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8F3D95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Comercial:</w:t>
      </w:r>
      <w:r w:rsidRPr="008F3D95">
        <w:rPr>
          <w:rFonts w:ascii="Arial" w:hAnsi="Arial" w:cs="Arial"/>
          <w:color w:val="000000"/>
          <w:sz w:val="21"/>
          <w:szCs w:val="21"/>
          <w:lang w:eastAsia="es-ES"/>
        </w:rPr>
        <w:t> 347.514,53 Euros.</w:t>
      </w:r>
    </w:p>
    <w:p w:rsidR="008F3D95" w:rsidRPr="008F3D95" w:rsidRDefault="008F3D95" w:rsidP="008F3D95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8F3D95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Financiera:</w:t>
      </w:r>
      <w:r w:rsidRPr="008F3D95">
        <w:rPr>
          <w:rFonts w:ascii="Arial" w:hAnsi="Arial" w:cs="Arial"/>
          <w:color w:val="000000"/>
          <w:sz w:val="21"/>
          <w:szCs w:val="21"/>
          <w:lang w:eastAsia="es-ES"/>
        </w:rPr>
        <w:t> 8.583.851,33 Euros.</w:t>
      </w:r>
    </w:p>
    <w:p w:rsidR="008F3D95" w:rsidRPr="008F3D95" w:rsidRDefault="008F3D95" w:rsidP="008F3D95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8F3D95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Otras Deudas,</w:t>
      </w:r>
      <w:r w:rsidRPr="008F3D95">
        <w:rPr>
          <w:rFonts w:ascii="Arial" w:hAnsi="Arial" w:cs="Arial"/>
          <w:color w:val="000000"/>
          <w:sz w:val="21"/>
          <w:szCs w:val="21"/>
          <w:lang w:eastAsia="es-ES"/>
        </w:rPr>
        <w:t> que se corresponden con Liquidaciones de Tributos del Estado y con el Estado, por importe de 1.935.133,51 Euros.</w:t>
      </w:r>
    </w:p>
    <w:p w:rsidR="008F3D95" w:rsidRPr="008F3D95" w:rsidRDefault="008F3D95" w:rsidP="008F3D95">
      <w:pPr>
        <w:numPr>
          <w:ilvl w:val="0"/>
          <w:numId w:val="18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8F3D95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Otros:</w:t>
      </w:r>
      <w:r w:rsidRPr="008F3D95">
        <w:rPr>
          <w:rFonts w:ascii="Arial" w:hAnsi="Arial" w:cs="Arial"/>
          <w:color w:val="000000"/>
          <w:sz w:val="21"/>
          <w:szCs w:val="21"/>
          <w:lang w:eastAsia="es-ES"/>
        </w:rPr>
        <w:t> 88.823,75 Euros.</w:t>
      </w:r>
    </w:p>
    <w:bookmarkEnd w:id="0"/>
    <w:p w:rsidR="002D7543" w:rsidRPr="002D7543" w:rsidRDefault="002D7543" w:rsidP="00FA04F3">
      <w:pPr>
        <w:shd w:val="clear" w:color="auto" w:fill="FFFFFF"/>
        <w:suppressAutoHyphens w:val="0"/>
        <w:spacing w:after="225"/>
        <w:ind w:left="708" w:hanging="708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777777"/>
          <w:sz w:val="20"/>
          <w:szCs w:val="20"/>
          <w:lang w:eastAsia="es-ES"/>
        </w:rPr>
        <w:t> </w:t>
      </w:r>
    </w:p>
    <w:permEnd w:id="1206146945"/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EA" w:rsidRDefault="007C43EA">
      <w:r>
        <w:separator/>
      </w:r>
    </w:p>
  </w:endnote>
  <w:endnote w:type="continuationSeparator" w:id="0">
    <w:p w:rsidR="007C43EA" w:rsidRDefault="007C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A56F4C">
      <w:rPr>
        <w:rFonts w:ascii="Arimo" w:hAnsi="Arimo" w:cs="Arimo"/>
        <w:noProof/>
        <w:sz w:val="14"/>
        <w:szCs w:val="14"/>
      </w:rPr>
      <w:t>3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EA" w:rsidRDefault="007C43EA">
      <w:r>
        <w:separator/>
      </w:r>
    </w:p>
  </w:footnote>
  <w:footnote w:type="continuationSeparator" w:id="0">
    <w:p w:rsidR="007C43EA" w:rsidRDefault="007C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C3079A"/>
    <w:multiLevelType w:val="multilevel"/>
    <w:tmpl w:val="82B86E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271B1"/>
    <w:multiLevelType w:val="multilevel"/>
    <w:tmpl w:val="C3182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B43AE0"/>
    <w:multiLevelType w:val="multilevel"/>
    <w:tmpl w:val="A598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493B82"/>
    <w:multiLevelType w:val="multilevel"/>
    <w:tmpl w:val="5C464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73240"/>
    <w:multiLevelType w:val="multilevel"/>
    <w:tmpl w:val="0C4AF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6"/>
  </w:num>
  <w:num w:numId="10">
    <w:abstractNumId w:val="9"/>
  </w:num>
  <w:num w:numId="11">
    <w:abstractNumId w:val="13"/>
  </w:num>
  <w:num w:numId="12">
    <w:abstractNumId w:val="10"/>
  </w:num>
  <w:num w:numId="13">
    <w:abstractNumId w:val="15"/>
  </w:num>
  <w:num w:numId="14">
    <w:abstractNumId w:val="8"/>
  </w:num>
  <w:num w:numId="15">
    <w:abstractNumId w:val="6"/>
  </w:num>
  <w:num w:numId="16">
    <w:abstractNumId w:val="17"/>
  </w:num>
  <w:num w:numId="17">
    <w:abstractNumId w:val="14"/>
  </w:num>
  <w:num w:numId="1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313C3"/>
    <w:rsid w:val="00034CA0"/>
    <w:rsid w:val="00054266"/>
    <w:rsid w:val="000634B1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744D"/>
    <w:rsid w:val="001506AC"/>
    <w:rsid w:val="00155667"/>
    <w:rsid w:val="0016563A"/>
    <w:rsid w:val="0016737D"/>
    <w:rsid w:val="00167A67"/>
    <w:rsid w:val="00173353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1F1C04"/>
    <w:rsid w:val="002155E5"/>
    <w:rsid w:val="00215DCD"/>
    <w:rsid w:val="00223D67"/>
    <w:rsid w:val="00257E8A"/>
    <w:rsid w:val="00262B87"/>
    <w:rsid w:val="00271DE9"/>
    <w:rsid w:val="00281B51"/>
    <w:rsid w:val="00292AA2"/>
    <w:rsid w:val="002965F8"/>
    <w:rsid w:val="002A60A9"/>
    <w:rsid w:val="002C0362"/>
    <w:rsid w:val="002C1F30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C7D4D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95C47"/>
    <w:rsid w:val="007A06EE"/>
    <w:rsid w:val="007A7386"/>
    <w:rsid w:val="007B495D"/>
    <w:rsid w:val="007C43EA"/>
    <w:rsid w:val="007D6726"/>
    <w:rsid w:val="007D6F80"/>
    <w:rsid w:val="007F1EBF"/>
    <w:rsid w:val="00812718"/>
    <w:rsid w:val="00822F2C"/>
    <w:rsid w:val="00840368"/>
    <w:rsid w:val="00852315"/>
    <w:rsid w:val="008534E8"/>
    <w:rsid w:val="00856ECC"/>
    <w:rsid w:val="00866B40"/>
    <w:rsid w:val="00891FE6"/>
    <w:rsid w:val="0089229F"/>
    <w:rsid w:val="00897CA4"/>
    <w:rsid w:val="008A08B9"/>
    <w:rsid w:val="008A0963"/>
    <w:rsid w:val="008B47E7"/>
    <w:rsid w:val="008C3BB6"/>
    <w:rsid w:val="008C4342"/>
    <w:rsid w:val="008C6AA2"/>
    <w:rsid w:val="008E12E6"/>
    <w:rsid w:val="008F3D95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3C21"/>
    <w:rsid w:val="00997C3D"/>
    <w:rsid w:val="009A78C8"/>
    <w:rsid w:val="009A7F93"/>
    <w:rsid w:val="009C0A75"/>
    <w:rsid w:val="009C172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C414A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C7559"/>
    <w:rsid w:val="00DD14B0"/>
    <w:rsid w:val="00DD4125"/>
    <w:rsid w:val="00DD5B67"/>
    <w:rsid w:val="00DE06B2"/>
    <w:rsid w:val="00DF272A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04F3"/>
    <w:rsid w:val="00FA65B4"/>
    <w:rsid w:val="00FB5E11"/>
    <w:rsid w:val="00FB735E"/>
    <w:rsid w:val="00FC1D10"/>
    <w:rsid w:val="00FC56BD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9C2A9DF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469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7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137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11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06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900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90494-0096-4620-9C44-A1113C43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1114. IMPORTE DE LA DEUDA DE LA ENTIDAD Y SU EVOLUCIÓN DURANTE LOS CINCO AÑOS AN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10</cp:revision>
  <cp:lastPrinted>2018-01-12T13:49:00Z</cp:lastPrinted>
  <dcterms:created xsi:type="dcterms:W3CDTF">2024-02-06T09:38:00Z</dcterms:created>
  <dcterms:modified xsi:type="dcterms:W3CDTF">2024-02-06T09:58:00Z</dcterms:modified>
</cp:coreProperties>
</file>