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C70D15" w:rsidRPr="00C70D15" w:rsidRDefault="00C70D15" w:rsidP="00C70D1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</w:t>
      </w:r>
      <w:r w:rsidRPr="00C70D15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bookmarkStart w:id="0" w:name="_GoBack"/>
      <w:bookmarkEnd w:id="0"/>
      <w:r w:rsidRPr="00C70D15">
        <w:rPr>
          <w:rFonts w:eastAsia="Times New Roman" w:cs="Arial"/>
          <w:b/>
          <w:bCs/>
          <w:color w:val="660033"/>
          <w:kern w:val="0"/>
          <w:sz w:val="27"/>
          <w:szCs w:val="27"/>
        </w:rPr>
        <w:t>2021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Gastos efectuados en concepto de Arrendamiento de Bienes Inmuebles, conforme la Liquidación del Presupuesto de 2021 del Ayuntamiento de Candelaria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C70D15">
        <w:rPr>
          <w:rFonts w:eastAsia="Times New Roman" w:cs="Arial"/>
          <w:b/>
          <w:bCs/>
          <w:color w:val="660033"/>
          <w:kern w:val="0"/>
          <w:sz w:val="21"/>
          <w:szCs w:val="21"/>
        </w:rPr>
        <w:t>ejercicio 2021,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fue de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168.384,74 Euros,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C70D15" w:rsidRPr="00C70D15" w:rsidRDefault="00C70D15" w:rsidP="00C70D15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En Comercio: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7.656,22 Euros.</w:t>
      </w:r>
    </w:p>
    <w:p w:rsidR="00C70D15" w:rsidRPr="00C70D15" w:rsidRDefault="00C70D15" w:rsidP="00C70D15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En Deportes: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 5.541,28 Euros.</w:t>
      </w:r>
    </w:p>
    <w:p w:rsidR="00C70D15" w:rsidRPr="00C70D15" w:rsidRDefault="00C70D15" w:rsidP="00C70D15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En Administración General: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 155.044,04 Euros.</w:t>
      </w:r>
    </w:p>
    <w:p w:rsidR="00C70D15" w:rsidRPr="00C70D15" w:rsidRDefault="00C70D15" w:rsidP="00C70D15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En Turismo: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 143,20 Euros.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1,7 % del gasto total.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000000"/>
          <w:kern w:val="0"/>
          <w:sz w:val="21"/>
          <w:szCs w:val="21"/>
        </w:rPr>
        <w:t>Los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en el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2020,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importan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148.158,08 Euros,</w:t>
      </w:r>
      <w:r w:rsidRPr="00C70D15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C70D15">
        <w:rPr>
          <w:rFonts w:eastAsia="Times New Roman" w:cs="Arial"/>
          <w:b/>
          <w:bCs/>
          <w:color w:val="000000"/>
          <w:kern w:val="0"/>
          <w:sz w:val="21"/>
          <w:szCs w:val="21"/>
        </w:rPr>
        <w:t>0.50 % del gasto total.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76" w:rsidRDefault="002F2276">
      <w:r>
        <w:separator/>
      </w:r>
    </w:p>
  </w:endnote>
  <w:endnote w:type="continuationSeparator" w:id="0">
    <w:p w:rsidR="002F2276" w:rsidRDefault="002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76" w:rsidRDefault="002F2276">
      <w:r>
        <w:rPr>
          <w:color w:val="000000"/>
        </w:rPr>
        <w:separator/>
      </w:r>
    </w:p>
  </w:footnote>
  <w:footnote w:type="continuationSeparator" w:id="0">
    <w:p w:rsidR="002F2276" w:rsidRDefault="002F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197982"/>
    <w:rsid w:val="002F2276"/>
    <w:rsid w:val="008B5CC0"/>
    <w:rsid w:val="00C001E2"/>
    <w:rsid w:val="00C0619B"/>
    <w:rsid w:val="00C70D15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E9FE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4</cp:revision>
  <cp:lastPrinted>2021-03-12T11:28:00Z</cp:lastPrinted>
  <dcterms:created xsi:type="dcterms:W3CDTF">2024-02-06T09:17:00Z</dcterms:created>
  <dcterms:modified xsi:type="dcterms:W3CDTF">2024-02-06T09:21:00Z</dcterms:modified>
</cp:coreProperties>
</file>